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5DE9" w14:textId="77777777" w:rsidR="0030250E" w:rsidRPr="006B3029" w:rsidRDefault="0030250E" w:rsidP="0030250E">
      <w:pPr>
        <w:spacing w:after="5" w:line="264" w:lineRule="auto"/>
        <w:ind w:left="-5" w:hanging="10"/>
        <w:rPr>
          <w:lang w:val="ro-RO"/>
        </w:rPr>
      </w:pPr>
      <w:r w:rsidRPr="006B3029">
        <w:rPr>
          <w:color w:val="000000"/>
          <w:lang w:val="ro-RO"/>
        </w:rPr>
        <w:t>Universitatea Babeș-Bolyai</w:t>
      </w:r>
    </w:p>
    <w:p w14:paraId="222087CB" w14:textId="77777777" w:rsidR="0030250E" w:rsidRPr="006B3029" w:rsidRDefault="0030250E" w:rsidP="0030250E">
      <w:pPr>
        <w:spacing w:after="5" w:line="264" w:lineRule="auto"/>
        <w:ind w:left="-5" w:right="5446" w:hanging="10"/>
        <w:rPr>
          <w:lang w:val="ro-RO"/>
        </w:rPr>
      </w:pPr>
      <w:r w:rsidRPr="006B3029">
        <w:rPr>
          <w:color w:val="000000"/>
          <w:lang w:val="ro-RO"/>
        </w:rPr>
        <w:t>Facultatea de Biologie și Geologie</w:t>
      </w:r>
    </w:p>
    <w:p w14:paraId="5506298C" w14:textId="77777777" w:rsidR="0030250E" w:rsidRPr="006B3029" w:rsidRDefault="0030250E" w:rsidP="0030250E">
      <w:pPr>
        <w:spacing w:after="5" w:line="264" w:lineRule="auto"/>
        <w:ind w:left="-5" w:right="5569" w:hanging="10"/>
        <w:rPr>
          <w:lang w:val="fr-FR"/>
        </w:rPr>
      </w:pPr>
      <w:r w:rsidRPr="006B3029">
        <w:rPr>
          <w:color w:val="000000"/>
          <w:lang w:val="ro-RO"/>
        </w:rPr>
        <w:t>Departamentul de Biologie și Ecologie al Liniei Maghiare</w:t>
      </w:r>
    </w:p>
    <w:p w14:paraId="6874BF8A" w14:textId="77777777" w:rsidR="0030250E" w:rsidRPr="006B3029" w:rsidRDefault="0030250E" w:rsidP="0030250E">
      <w:pPr>
        <w:spacing w:after="4" w:line="264" w:lineRule="auto"/>
        <w:ind w:left="-5" w:hanging="10"/>
      </w:pPr>
      <w:r w:rsidRPr="006B3029">
        <w:rPr>
          <w:b/>
          <w:color w:val="000000"/>
          <w:lang w:val="ro-RO"/>
        </w:rPr>
        <w:t>Conf. dr. Ruprecht Eszter</w:t>
      </w:r>
    </w:p>
    <w:p w14:paraId="61E50F9C" w14:textId="77777777" w:rsidR="0030250E" w:rsidRPr="006B3029" w:rsidRDefault="0030250E" w:rsidP="0030250E"/>
    <w:p w14:paraId="2B94C4E4" w14:textId="77777777" w:rsidR="0030250E" w:rsidRPr="006B3029" w:rsidRDefault="0030250E" w:rsidP="0030250E">
      <w:pPr>
        <w:rPr>
          <w:lang w:val="ro-RO"/>
        </w:rPr>
      </w:pPr>
    </w:p>
    <w:p w14:paraId="055223EA" w14:textId="77777777" w:rsidR="0030250E" w:rsidRPr="006B3029" w:rsidRDefault="0030250E" w:rsidP="0030250E">
      <w:pPr>
        <w:spacing w:line="320" w:lineRule="atLeast"/>
        <w:jc w:val="center"/>
        <w:rPr>
          <w:b/>
          <w:bCs/>
          <w:noProof/>
          <w:lang w:val="ro-RO"/>
        </w:rPr>
      </w:pPr>
      <w:r w:rsidRPr="006B3029">
        <w:rPr>
          <w:b/>
          <w:bCs/>
          <w:noProof/>
          <w:lang w:val="ro-RO"/>
        </w:rPr>
        <w:t>LISTA</w:t>
      </w:r>
    </w:p>
    <w:p w14:paraId="3B388D9E" w14:textId="77777777" w:rsidR="0030250E" w:rsidRPr="006B3029" w:rsidRDefault="0030250E" w:rsidP="0030250E">
      <w:pPr>
        <w:spacing w:line="320" w:lineRule="atLeast"/>
        <w:jc w:val="center"/>
        <w:rPr>
          <w:b/>
          <w:bCs/>
          <w:lang w:val="ro-RO"/>
        </w:rPr>
      </w:pPr>
      <w:r w:rsidRPr="006B3029">
        <w:rPr>
          <w:b/>
          <w:bCs/>
          <w:lang w:val="ro-RO"/>
        </w:rPr>
        <w:t>lucrărilor ştiinţifice în domeniul disciplinelor din postul didactic</w:t>
      </w:r>
    </w:p>
    <w:p w14:paraId="039DB66D" w14:textId="77777777" w:rsidR="0030250E" w:rsidRPr="006B3029" w:rsidRDefault="0030250E" w:rsidP="0030250E">
      <w:pPr>
        <w:spacing w:line="320" w:lineRule="atLeast"/>
        <w:rPr>
          <w:noProof/>
          <w:lang w:val="ro-RO"/>
        </w:rPr>
      </w:pPr>
    </w:p>
    <w:p w14:paraId="546C26C6" w14:textId="77777777" w:rsidR="0030250E" w:rsidRPr="006B3029" w:rsidRDefault="0030250E" w:rsidP="0030250E">
      <w:pPr>
        <w:spacing w:line="320" w:lineRule="atLeast"/>
        <w:rPr>
          <w:noProof/>
          <w:lang w:val="ro-RO"/>
        </w:rPr>
      </w:pPr>
    </w:p>
    <w:p w14:paraId="54185617" w14:textId="77777777" w:rsidR="0030250E" w:rsidRPr="006B3029" w:rsidRDefault="0030250E" w:rsidP="0030250E">
      <w:pPr>
        <w:pStyle w:val="ListParagraph"/>
        <w:numPr>
          <w:ilvl w:val="0"/>
          <w:numId w:val="1"/>
        </w:numPr>
        <w:tabs>
          <w:tab w:val="left" w:pos="399"/>
        </w:tabs>
        <w:spacing w:line="320" w:lineRule="atLeast"/>
        <w:ind w:left="360"/>
        <w:jc w:val="both"/>
        <w:rPr>
          <w:b/>
          <w:bCs/>
          <w:noProof/>
          <w:lang w:val="ro-RO"/>
        </w:rPr>
      </w:pPr>
      <w:r w:rsidRPr="006B3029">
        <w:rPr>
          <w:b/>
          <w:bCs/>
          <w:noProof/>
          <w:lang w:val="ro-RO"/>
        </w:rPr>
        <w:t>Teza de doctorat</w:t>
      </w:r>
    </w:p>
    <w:p w14:paraId="44AB9A3B" w14:textId="77777777" w:rsidR="0030250E" w:rsidRPr="006B3029" w:rsidRDefault="0030250E" w:rsidP="0030250E">
      <w:pPr>
        <w:rPr>
          <w:noProof/>
          <w:lang w:val="ro-RO"/>
        </w:rPr>
      </w:pPr>
      <w:r w:rsidRPr="006B3029">
        <w:rPr>
          <w:noProof/>
          <w:lang w:val="ro-RO"/>
        </w:rPr>
        <w:t>Ruprecht E.: Regenerarea spontană a pajiştilor mezo-xerofile pe terenurile agricole abandonate din Câmpia Transilvaniei; susţinută în ianuarie 2007, Universitatea E</w:t>
      </w:r>
      <w:r w:rsidRPr="006B3029">
        <w:rPr>
          <w:noProof/>
          <w:lang w:val="hu-HU"/>
        </w:rPr>
        <w:t xml:space="preserve">ötvös Loránd din Budapesta, Ungaria, </w:t>
      </w:r>
      <w:r w:rsidRPr="006B3029">
        <w:rPr>
          <w:noProof/>
          <w:lang w:val="ro-RO"/>
        </w:rPr>
        <w:t>conducător ştiinţific: Habil. Dr. S</w:t>
      </w:r>
      <w:r w:rsidRPr="006B3029">
        <w:rPr>
          <w:noProof/>
        </w:rPr>
        <w:t>ándor Bartha.</w:t>
      </w:r>
    </w:p>
    <w:p w14:paraId="0648962A" w14:textId="77777777" w:rsidR="0030250E" w:rsidRPr="006B3029" w:rsidRDefault="0030250E" w:rsidP="0030250E">
      <w:pPr>
        <w:tabs>
          <w:tab w:val="left" w:pos="142"/>
          <w:tab w:val="left" w:pos="399"/>
        </w:tabs>
        <w:spacing w:line="320" w:lineRule="atLeast"/>
        <w:jc w:val="both"/>
        <w:rPr>
          <w:noProof/>
          <w:lang w:val="ro-RO"/>
        </w:rPr>
      </w:pPr>
    </w:p>
    <w:p w14:paraId="29B57CBC" w14:textId="77777777" w:rsidR="0030250E" w:rsidRPr="006B3029" w:rsidRDefault="0030250E" w:rsidP="0030250E">
      <w:pPr>
        <w:numPr>
          <w:ilvl w:val="0"/>
          <w:numId w:val="1"/>
        </w:numPr>
        <w:tabs>
          <w:tab w:val="left" w:pos="142"/>
          <w:tab w:val="left" w:pos="399"/>
        </w:tabs>
        <w:spacing w:line="320" w:lineRule="atLeast"/>
        <w:ind w:hanging="720"/>
        <w:jc w:val="both"/>
        <w:rPr>
          <w:b/>
          <w:bCs/>
          <w:noProof/>
          <w:lang w:val="ro-RO"/>
        </w:rPr>
      </w:pPr>
      <w:r w:rsidRPr="006B3029">
        <w:rPr>
          <w:b/>
          <w:bCs/>
          <w:noProof/>
          <w:lang w:val="ro-RO"/>
        </w:rPr>
        <w:t xml:space="preserve">Cărţi si capitole în cărţi </w:t>
      </w:r>
      <w:r w:rsidRPr="006B3029">
        <w:rPr>
          <w:b/>
          <w:bCs/>
          <w:lang w:val="ro-RO"/>
        </w:rPr>
        <w:t xml:space="preserve">publicate în ultimii 10 ani </w:t>
      </w:r>
    </w:p>
    <w:p w14:paraId="327F09F8" w14:textId="77777777" w:rsidR="0030250E" w:rsidRPr="006B3029" w:rsidRDefault="0030250E" w:rsidP="0030250E">
      <w:pPr>
        <w:spacing w:line="320" w:lineRule="atLeast"/>
        <w:ind w:left="360" w:hanging="360"/>
        <w:rPr>
          <w:noProof/>
          <w:lang w:val="ro-RO"/>
        </w:rPr>
      </w:pPr>
      <w:r w:rsidRPr="006B3029">
        <w:rPr>
          <w:noProof/>
          <w:lang w:val="ro-RO"/>
        </w:rPr>
        <w:t xml:space="preserve">1. Lansdown, R.V., Anastasiu, P., Barina, Z., Bazos, I., Cakan, H., Caković, D., Delipetrou, P., Matevski, V., Mitić, B., </w:t>
      </w:r>
      <w:r w:rsidRPr="006B3029">
        <w:rPr>
          <w:noProof/>
          <w:u w:val="single"/>
          <w:lang w:val="ro-RO"/>
        </w:rPr>
        <w:t>Ruprecht, E.</w:t>
      </w:r>
      <w:r w:rsidRPr="006B3029">
        <w:rPr>
          <w:noProof/>
          <w:lang w:val="ro-RO"/>
        </w:rPr>
        <w:t xml:space="preserve">, Tomović, G., Tosheva, A., Kiraly, G. (2016). </w:t>
      </w:r>
      <w:r w:rsidRPr="006B3029">
        <w:rPr>
          <w:noProof/>
        </w:rPr>
        <w:t xml:space="preserve">Review of Alien Freshwater Vascular Plants in South-east Europe. In: Rat, M., Trichkova, T., Scalera, R., Tomov, R., Uludag, A. (eds.) </w:t>
      </w:r>
      <w:r w:rsidRPr="006B3029">
        <w:rPr>
          <w:i/>
          <w:iCs/>
          <w:noProof/>
        </w:rPr>
        <w:t>ESENIAS Scientific Reports 1. State of the Art of Invasive Alien Species in South-Eastern Europe</w:t>
      </w:r>
      <w:r w:rsidRPr="006B3029">
        <w:rPr>
          <w:noProof/>
        </w:rPr>
        <w:t>, University of Novi Sad, Novi Sad, Serbia, pp. 137-154.</w:t>
      </w:r>
    </w:p>
    <w:p w14:paraId="4EAE487C" w14:textId="77777777" w:rsidR="0030250E" w:rsidRPr="006B3029" w:rsidRDefault="0030250E" w:rsidP="0030250E">
      <w:pPr>
        <w:pStyle w:val="ListParagraph1"/>
        <w:tabs>
          <w:tab w:val="left" w:pos="399"/>
        </w:tabs>
        <w:spacing w:line="320" w:lineRule="atLeast"/>
        <w:ind w:left="0"/>
        <w:jc w:val="both"/>
        <w:rPr>
          <w:rFonts w:ascii="Times New Roman" w:hAnsi="Times New Roman"/>
          <w:noProof/>
          <w:sz w:val="24"/>
          <w:szCs w:val="24"/>
        </w:rPr>
      </w:pPr>
      <w:r w:rsidRPr="006B3029">
        <w:rPr>
          <w:rFonts w:ascii="Times New Roman" w:hAnsi="Times New Roman"/>
          <w:noProof/>
          <w:sz w:val="24"/>
          <w:szCs w:val="24"/>
        </w:rPr>
        <w:t xml:space="preserve">  </w:t>
      </w:r>
    </w:p>
    <w:p w14:paraId="0F1F8B46" w14:textId="77777777" w:rsidR="0030250E" w:rsidRPr="006B3029" w:rsidRDefault="0030250E" w:rsidP="0030250E">
      <w:pPr>
        <w:numPr>
          <w:ilvl w:val="0"/>
          <w:numId w:val="1"/>
        </w:numPr>
        <w:tabs>
          <w:tab w:val="left" w:pos="142"/>
          <w:tab w:val="left" w:pos="399"/>
        </w:tabs>
        <w:spacing w:line="320" w:lineRule="atLeast"/>
        <w:ind w:left="714" w:hanging="714"/>
        <w:jc w:val="both"/>
        <w:rPr>
          <w:b/>
          <w:bCs/>
          <w:noProof/>
          <w:lang w:val="ro-RO"/>
        </w:rPr>
      </w:pPr>
      <w:r w:rsidRPr="006B3029">
        <w:rPr>
          <w:b/>
          <w:bCs/>
          <w:noProof/>
          <w:lang w:val="ro-RO"/>
        </w:rPr>
        <w:t xml:space="preserve">Lucrări indexate ISI/BDI </w:t>
      </w:r>
      <w:r w:rsidRPr="006B3029">
        <w:rPr>
          <w:b/>
          <w:bCs/>
          <w:lang w:val="ro-RO"/>
        </w:rPr>
        <w:t xml:space="preserve">publicate în ultimii 10 ani </w:t>
      </w:r>
    </w:p>
    <w:p w14:paraId="482EC82F" w14:textId="77777777" w:rsidR="0030250E" w:rsidRPr="006B3029" w:rsidRDefault="0030250E" w:rsidP="0030250E">
      <w:pPr>
        <w:numPr>
          <w:ilvl w:val="0"/>
          <w:numId w:val="2"/>
        </w:numPr>
        <w:spacing w:line="320" w:lineRule="atLeast"/>
        <w:ind w:left="270" w:hanging="270"/>
        <w:rPr>
          <w:noProof/>
          <w:color w:val="000000"/>
          <w:lang w:val="ro-RO"/>
        </w:rPr>
      </w:pPr>
      <w:r w:rsidRPr="006B3029">
        <w:rPr>
          <w:noProof/>
          <w:lang w:val="en-GB"/>
        </w:rPr>
        <w:t xml:space="preserve">Chytrý, M., Hennekens, S.M., Jiménez-Alfaro, B., Knollová, I., Dengler, J., Jansen, F., Landucci, F., Schaminée, J.H.J., Aćić, S., Agrillo, E., Ambarlı, D., Angelini, P., </w:t>
      </w:r>
      <w:r w:rsidRPr="006B3029">
        <w:rPr>
          <w:noProof/>
          <w:color w:val="000000"/>
          <w:lang w:val="en-GB"/>
        </w:rPr>
        <w:t xml:space="preserve">Apostolova, I., Attorre, F., Berg, C., Bergmeier, E., Biurrun, I., […], </w:t>
      </w:r>
      <w:r w:rsidRPr="006B3029">
        <w:rPr>
          <w:noProof/>
          <w:color w:val="000000"/>
          <w:u w:val="single"/>
          <w:lang w:val="en-GB"/>
        </w:rPr>
        <w:t>Ruprecht, E.</w:t>
      </w:r>
      <w:r w:rsidRPr="006B3029">
        <w:rPr>
          <w:noProof/>
          <w:color w:val="000000"/>
          <w:lang w:val="en-GB"/>
        </w:rPr>
        <w:t xml:space="preserve">, Rūsiņa, S., Seidler, G., Šibík, J., Šilc, U., Škvorc, Ž., Sopotlieva, D., Stančić, Z., Svenning, J.-C., Swacha, G., Tsiripidis, I., Turtureanu, P.D., Uğurlu, E., Uogintas, D., Valachovič, M., Vashenyak, Y., Vassilev, K., Venanzoni, R., Virtanen, R., Weekes, L., Willner, W., Wohlgemuth, T., </w:t>
      </w:r>
      <w:r w:rsidRPr="006B3029">
        <w:rPr>
          <w:noProof/>
          <w:lang w:val="en-GB"/>
        </w:rPr>
        <w:t xml:space="preserve">Yamalov, S. (2016). European Vegetation Archive (EVA): an integrated database of European vegetation plots. </w:t>
      </w:r>
      <w:r w:rsidRPr="006B3029">
        <w:rPr>
          <w:i/>
          <w:iCs/>
          <w:noProof/>
          <w:lang w:val="en-GB"/>
        </w:rPr>
        <w:t xml:space="preserve">Applied Vegetation Science </w:t>
      </w:r>
      <w:r w:rsidRPr="006B3029">
        <w:rPr>
          <w:noProof/>
          <w:lang w:val="en-GB"/>
        </w:rPr>
        <w:t xml:space="preserve">19: 173-180. </w:t>
      </w:r>
      <w:r w:rsidRPr="006B3029">
        <w:rPr>
          <w:noProof/>
          <w:color w:val="000000"/>
          <w:lang w:val="ro-RO"/>
        </w:rPr>
        <w:t>[</w:t>
      </w:r>
      <w:r w:rsidRPr="006B3029">
        <w:rPr>
          <w:noProof/>
        </w:rPr>
        <w:t>FI</w:t>
      </w:r>
      <w:r w:rsidRPr="006B3029">
        <w:rPr>
          <w:noProof/>
          <w:color w:val="000000"/>
          <w:lang w:val="ro-RO"/>
        </w:rPr>
        <w:t>=2,548]</w:t>
      </w:r>
    </w:p>
    <w:p w14:paraId="45C27F0D" w14:textId="77777777" w:rsidR="0030250E" w:rsidRPr="006B3029" w:rsidRDefault="0030250E" w:rsidP="0030250E">
      <w:pPr>
        <w:numPr>
          <w:ilvl w:val="0"/>
          <w:numId w:val="2"/>
        </w:numPr>
        <w:spacing w:line="320" w:lineRule="atLeast"/>
        <w:ind w:left="270" w:hanging="270"/>
        <w:rPr>
          <w:noProof/>
          <w:color w:val="000000"/>
          <w:lang w:val="ro-RO"/>
        </w:rPr>
      </w:pPr>
      <w:r w:rsidRPr="006B3029">
        <w:rPr>
          <w:noProof/>
          <w:u w:val="single"/>
          <w:lang w:val="en-GB"/>
        </w:rPr>
        <w:t>Ruprecht, E.</w:t>
      </w:r>
      <w:r w:rsidRPr="006B3029">
        <w:rPr>
          <w:noProof/>
          <w:lang w:val="en-GB"/>
        </w:rPr>
        <w:t xml:space="preserve">, Lukács, K., Domokos, P., Kuhn, T., Fenesi, A. (2016). Hydration status influences seed fire tolerance in temperate European herbaceous species. </w:t>
      </w:r>
      <w:r w:rsidRPr="006B3029">
        <w:rPr>
          <w:i/>
          <w:iCs/>
          <w:noProof/>
          <w:lang w:val="en-GB"/>
        </w:rPr>
        <w:t xml:space="preserve">Plant Biology </w:t>
      </w:r>
      <w:r w:rsidRPr="006B3029">
        <w:rPr>
          <w:noProof/>
        </w:rPr>
        <w:t>18: 295-300</w:t>
      </w:r>
      <w:r w:rsidRPr="006B3029">
        <w:rPr>
          <w:noProof/>
          <w:lang w:val="en-GB"/>
        </w:rPr>
        <w:t xml:space="preserve">. </w:t>
      </w:r>
      <w:r w:rsidRPr="006B3029">
        <w:rPr>
          <w:noProof/>
          <w:color w:val="000000"/>
          <w:lang w:val="ro-RO"/>
        </w:rPr>
        <w:t>[</w:t>
      </w:r>
      <w:r w:rsidRPr="006B3029">
        <w:rPr>
          <w:noProof/>
        </w:rPr>
        <w:t>FI</w:t>
      </w:r>
      <w:r w:rsidRPr="006B3029">
        <w:rPr>
          <w:noProof/>
          <w:color w:val="000000"/>
          <w:lang w:val="ro-RO"/>
        </w:rPr>
        <w:t>=2,633]</w:t>
      </w:r>
    </w:p>
    <w:p w14:paraId="5190F69B" w14:textId="77777777" w:rsidR="0030250E" w:rsidRPr="006B3029" w:rsidRDefault="0030250E" w:rsidP="0030250E">
      <w:pPr>
        <w:numPr>
          <w:ilvl w:val="0"/>
          <w:numId w:val="2"/>
        </w:numPr>
        <w:spacing w:line="320" w:lineRule="atLeast"/>
        <w:ind w:left="270" w:hanging="270"/>
        <w:rPr>
          <w:noProof/>
          <w:color w:val="000000"/>
          <w:lang w:val="ro-RO"/>
        </w:rPr>
      </w:pPr>
      <w:r w:rsidRPr="006B3029">
        <w:rPr>
          <w:noProof/>
          <w:u w:val="single"/>
          <w:lang w:val="en-GB"/>
        </w:rPr>
        <w:t>Ruprecht, E.</w:t>
      </w:r>
      <w:r w:rsidRPr="006B3029">
        <w:rPr>
          <w:noProof/>
          <w:lang w:val="en-GB"/>
        </w:rPr>
        <w:t xml:space="preserve">, Enyedi, M.Z., Szabó, A., Fenesi, A. (2016). Biomass removal by clipping and raking </w:t>
      </w:r>
      <w:r w:rsidRPr="006B3029">
        <w:rPr>
          <w:i/>
          <w:iCs/>
          <w:noProof/>
          <w:lang w:val="en-GB"/>
        </w:rPr>
        <w:t>vs</w:t>
      </w:r>
      <w:r w:rsidRPr="006B3029">
        <w:rPr>
          <w:noProof/>
          <w:lang w:val="en-GB"/>
        </w:rPr>
        <w:t xml:space="preserve">. burning for the restoration of abandoned </w:t>
      </w:r>
      <w:r w:rsidRPr="006B3029">
        <w:rPr>
          <w:i/>
          <w:iCs/>
          <w:noProof/>
          <w:lang w:val="en-GB"/>
        </w:rPr>
        <w:t>Stipa</w:t>
      </w:r>
      <w:r w:rsidRPr="006B3029">
        <w:rPr>
          <w:noProof/>
          <w:lang w:val="en-GB"/>
        </w:rPr>
        <w:t xml:space="preserve">-dominated European steppe-like grassland. </w:t>
      </w:r>
      <w:r w:rsidRPr="006B3029">
        <w:rPr>
          <w:i/>
          <w:iCs/>
          <w:noProof/>
          <w:lang w:val="en-GB"/>
        </w:rPr>
        <w:t>Applied Vegetation Science</w:t>
      </w:r>
      <w:r w:rsidRPr="006B3029">
        <w:rPr>
          <w:noProof/>
        </w:rPr>
        <w:t xml:space="preserve"> 19: 78-88</w:t>
      </w:r>
      <w:r w:rsidRPr="006B3029">
        <w:rPr>
          <w:noProof/>
          <w:lang w:val="en-GB"/>
        </w:rPr>
        <w:t xml:space="preserve">. </w:t>
      </w:r>
      <w:r w:rsidRPr="006B3029">
        <w:rPr>
          <w:noProof/>
          <w:color w:val="000000"/>
          <w:lang w:val="ro-RO"/>
        </w:rPr>
        <w:t>[</w:t>
      </w:r>
      <w:r w:rsidRPr="006B3029">
        <w:rPr>
          <w:noProof/>
        </w:rPr>
        <w:t>FI</w:t>
      </w:r>
      <w:r w:rsidRPr="006B3029">
        <w:rPr>
          <w:noProof/>
          <w:color w:val="000000"/>
          <w:lang w:val="ro-RO"/>
        </w:rPr>
        <w:t>=2,548]</w:t>
      </w:r>
    </w:p>
    <w:p w14:paraId="41516CD4" w14:textId="77777777" w:rsidR="0030250E" w:rsidRPr="006B3029" w:rsidRDefault="0030250E" w:rsidP="0030250E">
      <w:pPr>
        <w:numPr>
          <w:ilvl w:val="0"/>
          <w:numId w:val="2"/>
        </w:numPr>
        <w:spacing w:line="320" w:lineRule="atLeast"/>
        <w:ind w:left="270" w:hanging="270"/>
        <w:rPr>
          <w:noProof/>
          <w:color w:val="000000"/>
          <w:lang w:val="ro-RO"/>
        </w:rPr>
      </w:pPr>
      <w:r w:rsidRPr="006B3029">
        <w:rPr>
          <w:noProof/>
        </w:rPr>
        <w:t xml:space="preserve">Kuhn, T., Fodor, E.I., Tripon, S., Fodorpataki, L., Fenesi, A., </w:t>
      </w:r>
      <w:r w:rsidRPr="006B3029">
        <w:rPr>
          <w:noProof/>
          <w:u w:val="single"/>
        </w:rPr>
        <w:t>Ruprecht, E.</w:t>
      </w:r>
      <w:r w:rsidRPr="006B3029">
        <w:rPr>
          <w:noProof/>
        </w:rPr>
        <w:t xml:space="preserve"> (2016). Allometric relationships between diaspore morphology and diaspore covering anatomy of herbaceous species from central-eastern Europe. </w:t>
      </w:r>
      <w:r w:rsidRPr="006B3029">
        <w:rPr>
          <w:i/>
          <w:iCs/>
          <w:noProof/>
        </w:rPr>
        <w:t>Seed Science Research</w:t>
      </w:r>
      <w:r w:rsidRPr="006B3029">
        <w:rPr>
          <w:noProof/>
        </w:rPr>
        <w:t xml:space="preserve"> 26: 264-272. </w:t>
      </w:r>
      <w:r w:rsidRPr="006B3029">
        <w:rPr>
          <w:noProof/>
          <w:color w:val="000000"/>
          <w:lang w:val="ro-RO"/>
        </w:rPr>
        <w:t>[</w:t>
      </w:r>
      <w:r w:rsidRPr="006B3029">
        <w:rPr>
          <w:noProof/>
        </w:rPr>
        <w:t>FI</w:t>
      </w:r>
      <w:r w:rsidRPr="006B3029">
        <w:rPr>
          <w:noProof/>
          <w:color w:val="000000"/>
          <w:lang w:val="ro-RO"/>
        </w:rPr>
        <w:t>=1,841]</w:t>
      </w:r>
    </w:p>
    <w:p w14:paraId="6BC8D6A8" w14:textId="77777777" w:rsidR="0030250E" w:rsidRPr="006B3029" w:rsidRDefault="0030250E" w:rsidP="0030250E">
      <w:pPr>
        <w:numPr>
          <w:ilvl w:val="0"/>
          <w:numId w:val="2"/>
        </w:numPr>
        <w:spacing w:line="320" w:lineRule="atLeast"/>
        <w:ind w:left="270" w:hanging="270"/>
        <w:rPr>
          <w:noProof/>
          <w:color w:val="000000"/>
          <w:lang w:val="ro-RO"/>
        </w:rPr>
      </w:pPr>
      <w:r w:rsidRPr="006B3029">
        <w:rPr>
          <w:noProof/>
        </w:rPr>
        <w:lastRenderedPageBreak/>
        <w:t xml:space="preserve">Német, E., </w:t>
      </w:r>
      <w:r w:rsidRPr="006B3029">
        <w:rPr>
          <w:noProof/>
          <w:u w:val="single"/>
        </w:rPr>
        <w:t>Ruprecht, E.</w:t>
      </w:r>
      <w:r w:rsidRPr="006B3029">
        <w:rPr>
          <w:noProof/>
        </w:rPr>
        <w:t xml:space="preserve">, Gallé, R., Markó, B. (2016). Abandonment of crop lands leads to different recovery patterns for ant and plant communities in Eastern Europe. </w:t>
      </w:r>
      <w:r w:rsidRPr="006B3029">
        <w:rPr>
          <w:i/>
          <w:iCs/>
          <w:noProof/>
        </w:rPr>
        <w:t>Community Ecology</w:t>
      </w:r>
      <w:r w:rsidRPr="006B3029">
        <w:rPr>
          <w:noProof/>
        </w:rPr>
        <w:t xml:space="preserve"> </w:t>
      </w:r>
      <w:r w:rsidRPr="006B3029">
        <w:rPr>
          <w:noProof/>
          <w:lang w:val="en-GB"/>
        </w:rPr>
        <w:t xml:space="preserve">17: 79-87. </w:t>
      </w:r>
      <w:r w:rsidRPr="006B3029">
        <w:rPr>
          <w:noProof/>
          <w:color w:val="000000"/>
          <w:lang w:val="ro-RO"/>
        </w:rPr>
        <w:t>[</w:t>
      </w:r>
      <w:r w:rsidRPr="006B3029">
        <w:rPr>
          <w:noProof/>
        </w:rPr>
        <w:t>FI</w:t>
      </w:r>
      <w:r w:rsidRPr="006B3029">
        <w:rPr>
          <w:noProof/>
          <w:color w:val="000000"/>
          <w:lang w:val="ro-RO"/>
        </w:rPr>
        <w:t>=0,782]</w:t>
      </w:r>
    </w:p>
    <w:p w14:paraId="12DFDC7A" w14:textId="77777777" w:rsidR="0030250E" w:rsidRPr="006B3029" w:rsidRDefault="0030250E" w:rsidP="0030250E">
      <w:pPr>
        <w:numPr>
          <w:ilvl w:val="0"/>
          <w:numId w:val="2"/>
        </w:numPr>
        <w:spacing w:line="320" w:lineRule="atLeast"/>
        <w:ind w:left="270" w:hanging="270"/>
        <w:rPr>
          <w:noProof/>
          <w:color w:val="000000"/>
          <w:lang w:val="ro-RO"/>
        </w:rPr>
      </w:pPr>
      <w:r w:rsidRPr="006B3029">
        <w:rPr>
          <w:noProof/>
        </w:rPr>
        <w:t xml:space="preserve">Fenesi, A., Saura-Mas, S., Blank, R.R., Kozma, A., Lózer, B.M., </w:t>
      </w:r>
      <w:r w:rsidRPr="006B3029">
        <w:rPr>
          <w:noProof/>
          <w:u w:val="single"/>
        </w:rPr>
        <w:t>Ruprecht, E.</w:t>
      </w:r>
      <w:r w:rsidRPr="006B3029">
        <w:rPr>
          <w:noProof/>
        </w:rPr>
        <w:t xml:space="preserve"> (2016). Enhanced Fire-Related Traits May Contribute to the Invasiveness of Downy Brome (</w:t>
      </w:r>
      <w:r w:rsidRPr="006B3029">
        <w:rPr>
          <w:i/>
          <w:iCs/>
          <w:noProof/>
        </w:rPr>
        <w:t>Bromus tectorum</w:t>
      </w:r>
      <w:r w:rsidRPr="006B3029">
        <w:rPr>
          <w:noProof/>
        </w:rPr>
        <w:t xml:space="preserve">). </w:t>
      </w:r>
      <w:r w:rsidRPr="006B3029">
        <w:rPr>
          <w:i/>
          <w:iCs/>
          <w:noProof/>
        </w:rPr>
        <w:t>Invasive Plant Science and Management</w:t>
      </w:r>
      <w:r w:rsidRPr="006B3029">
        <w:rPr>
          <w:noProof/>
        </w:rPr>
        <w:t xml:space="preserve"> 9:182-194. </w:t>
      </w:r>
      <w:r w:rsidRPr="006B3029">
        <w:rPr>
          <w:noProof/>
          <w:color w:val="000000"/>
          <w:lang w:val="ro-RO"/>
        </w:rPr>
        <w:t>[</w:t>
      </w:r>
      <w:r w:rsidRPr="006B3029">
        <w:rPr>
          <w:noProof/>
        </w:rPr>
        <w:t>FI</w:t>
      </w:r>
      <w:r w:rsidRPr="006B3029">
        <w:rPr>
          <w:noProof/>
          <w:color w:val="000000"/>
          <w:lang w:val="ro-RO"/>
        </w:rPr>
        <w:t>=0,952]</w:t>
      </w:r>
    </w:p>
    <w:p w14:paraId="3119E819" w14:textId="77777777" w:rsidR="0030250E" w:rsidRPr="006B3029" w:rsidRDefault="0030250E" w:rsidP="0030250E">
      <w:pPr>
        <w:numPr>
          <w:ilvl w:val="0"/>
          <w:numId w:val="2"/>
        </w:numPr>
        <w:spacing w:line="320" w:lineRule="atLeast"/>
        <w:ind w:left="270" w:hanging="270"/>
        <w:rPr>
          <w:noProof/>
          <w:color w:val="000000"/>
          <w:lang w:val="ro-RO"/>
        </w:rPr>
      </w:pPr>
      <w:r w:rsidRPr="006B3029">
        <w:rPr>
          <w:noProof/>
        </w:rPr>
        <w:t xml:space="preserve">Michielsen, M., Szemák, L., Fenesi, A., Nijs, I., </w:t>
      </w:r>
      <w:r w:rsidRPr="006B3029">
        <w:rPr>
          <w:noProof/>
          <w:u w:val="single"/>
        </w:rPr>
        <w:t>Ruprecht, E.</w:t>
      </w:r>
      <w:r w:rsidRPr="006B3029">
        <w:rPr>
          <w:noProof/>
        </w:rPr>
        <w:t xml:space="preserve"> (2017). Resprouting of woody species encroaching temperate European grasslands after cutting and burning. </w:t>
      </w:r>
      <w:r w:rsidRPr="006B3029">
        <w:rPr>
          <w:i/>
          <w:iCs/>
          <w:noProof/>
        </w:rPr>
        <w:t>Applied Vegetation Science</w:t>
      </w:r>
      <w:r w:rsidRPr="006B3029">
        <w:rPr>
          <w:noProof/>
        </w:rPr>
        <w:t xml:space="preserve"> 20: 388-396. </w:t>
      </w:r>
      <w:r w:rsidRPr="006B3029">
        <w:rPr>
          <w:noProof/>
          <w:color w:val="000000"/>
          <w:lang w:val="ro-RO"/>
        </w:rPr>
        <w:t>[</w:t>
      </w:r>
      <w:r w:rsidRPr="006B3029">
        <w:rPr>
          <w:noProof/>
        </w:rPr>
        <w:t>FI</w:t>
      </w:r>
      <w:r w:rsidRPr="006B3029">
        <w:rPr>
          <w:noProof/>
          <w:color w:val="000000"/>
          <w:lang w:val="ro-RO"/>
        </w:rPr>
        <w:t>=2,474]</w:t>
      </w:r>
    </w:p>
    <w:p w14:paraId="49E9CE43" w14:textId="77777777" w:rsidR="0030250E" w:rsidRPr="006B3029" w:rsidRDefault="0030250E" w:rsidP="0030250E">
      <w:pPr>
        <w:numPr>
          <w:ilvl w:val="0"/>
          <w:numId w:val="2"/>
        </w:numPr>
        <w:spacing w:line="320" w:lineRule="atLeast"/>
        <w:ind w:left="270" w:hanging="270"/>
        <w:rPr>
          <w:noProof/>
          <w:color w:val="000000"/>
          <w:lang w:val="ro-RO"/>
        </w:rPr>
      </w:pPr>
      <w:r w:rsidRPr="006B3029">
        <w:rPr>
          <w:noProof/>
        </w:rPr>
        <w:t xml:space="preserve">Willner, W., Kuzemko, A., Dengler, J., Chytrý, M., Bauer, N., Becker, T., Biță-Nicolae, C., Botta-Dukát, Z., Čarni, A., Csiky, J., Igić, R., Kącki, Z., Korotchenko, I., Kropf, M., Krstivojević-Ćuk, M., Krstonošić, D., Rédei, T., </w:t>
      </w:r>
      <w:r w:rsidRPr="006B3029">
        <w:rPr>
          <w:noProof/>
          <w:u w:val="single"/>
        </w:rPr>
        <w:t>Ruprecht, E.</w:t>
      </w:r>
      <w:r w:rsidRPr="006B3029">
        <w:rPr>
          <w:noProof/>
        </w:rPr>
        <w:t xml:space="preserve">, Schratt-Ehrendorfer, L., Semenishchenkov, Y., Stančić, Z., Vashenyak, Y., Vynokurov, D., Janišová, M. (2017). A higher-level classification of the Pannonian and western Pontic steppe grasslands (Central and Eastern Europe). </w:t>
      </w:r>
      <w:r w:rsidRPr="006B3029">
        <w:rPr>
          <w:i/>
          <w:iCs/>
          <w:noProof/>
        </w:rPr>
        <w:t>Applied Vegetation Science</w:t>
      </w:r>
      <w:r w:rsidRPr="006B3029">
        <w:rPr>
          <w:noProof/>
        </w:rPr>
        <w:t xml:space="preserve"> 20: 143-158. </w:t>
      </w:r>
      <w:r w:rsidRPr="006B3029">
        <w:rPr>
          <w:noProof/>
          <w:color w:val="000000"/>
          <w:lang w:val="ro-RO"/>
        </w:rPr>
        <w:t>[</w:t>
      </w:r>
      <w:r w:rsidRPr="006B3029">
        <w:rPr>
          <w:noProof/>
        </w:rPr>
        <w:t>FI</w:t>
      </w:r>
      <w:r w:rsidRPr="006B3029">
        <w:rPr>
          <w:noProof/>
          <w:color w:val="000000"/>
          <w:lang w:val="ro-RO"/>
        </w:rPr>
        <w:t>=2,474]</w:t>
      </w:r>
    </w:p>
    <w:p w14:paraId="299ACF9C" w14:textId="77777777" w:rsidR="0030250E" w:rsidRPr="006B3029" w:rsidRDefault="0030250E" w:rsidP="0030250E">
      <w:pPr>
        <w:numPr>
          <w:ilvl w:val="0"/>
          <w:numId w:val="2"/>
        </w:numPr>
        <w:spacing w:line="320" w:lineRule="atLeast"/>
        <w:ind w:left="270" w:hanging="270"/>
        <w:rPr>
          <w:noProof/>
          <w:color w:val="000000"/>
          <w:lang w:val="ro-RO"/>
        </w:rPr>
      </w:pPr>
      <w:r w:rsidRPr="006B3029">
        <w:rPr>
          <w:rStyle w:val="Strong"/>
          <w:b w:val="0"/>
          <w:bCs w:val="0"/>
          <w:noProof/>
        </w:rPr>
        <w:t>Feurdean, A., Munteanu, C., Kuemmerle T., Nielsen, A.B., Hutchinson, S.M.,</w:t>
      </w:r>
      <w:r w:rsidRPr="006B3029">
        <w:rPr>
          <w:rStyle w:val="Strong"/>
          <w:noProof/>
        </w:rPr>
        <w:t xml:space="preserve"> </w:t>
      </w:r>
      <w:r w:rsidRPr="006B3029">
        <w:rPr>
          <w:noProof/>
          <w:u w:val="single"/>
        </w:rPr>
        <w:t>Ruprecht, E.</w:t>
      </w:r>
      <w:r w:rsidRPr="006B3029">
        <w:rPr>
          <w:noProof/>
        </w:rPr>
        <w:t xml:space="preserve">, Parr, C.L., Persoiu A., Hickler, T. (2017). Long-term land-cover/use change in a traditional farming landscape in Romania inferred from pollen data, historical maps and satellite images. </w:t>
      </w:r>
      <w:r w:rsidRPr="006B3029">
        <w:rPr>
          <w:i/>
          <w:iCs/>
          <w:noProof/>
        </w:rPr>
        <w:t>Regional Environmental Change</w:t>
      </w:r>
      <w:r w:rsidRPr="006B3029">
        <w:rPr>
          <w:noProof/>
        </w:rPr>
        <w:t xml:space="preserve"> 17: 2193-2207. </w:t>
      </w:r>
      <w:r w:rsidRPr="006B3029">
        <w:rPr>
          <w:noProof/>
          <w:color w:val="000000"/>
          <w:lang w:val="ro-RO"/>
        </w:rPr>
        <w:t>[</w:t>
      </w:r>
      <w:r w:rsidRPr="006B3029">
        <w:rPr>
          <w:noProof/>
        </w:rPr>
        <w:t>FI</w:t>
      </w:r>
      <w:r w:rsidRPr="006B3029">
        <w:rPr>
          <w:noProof/>
          <w:color w:val="000000"/>
          <w:lang w:val="ro-RO"/>
        </w:rPr>
        <w:t>=2,919]</w:t>
      </w:r>
    </w:p>
    <w:p w14:paraId="331B6366" w14:textId="77777777" w:rsidR="0030250E" w:rsidRPr="006B3029" w:rsidRDefault="0030250E" w:rsidP="0030250E">
      <w:pPr>
        <w:numPr>
          <w:ilvl w:val="0"/>
          <w:numId w:val="2"/>
        </w:numPr>
        <w:spacing w:line="320" w:lineRule="atLeast"/>
        <w:ind w:left="270" w:hanging="270"/>
        <w:rPr>
          <w:noProof/>
          <w:color w:val="000000"/>
          <w:lang w:val="ro-RO"/>
        </w:rPr>
      </w:pPr>
      <w:r w:rsidRPr="006B3029">
        <w:rPr>
          <w:noProof/>
        </w:rPr>
        <w:t xml:space="preserve">Vassilev, K., </w:t>
      </w:r>
      <w:r w:rsidRPr="006B3029">
        <w:rPr>
          <w:noProof/>
          <w:u w:val="single"/>
        </w:rPr>
        <w:t>Ruprecht, E.</w:t>
      </w:r>
      <w:r w:rsidRPr="006B3029">
        <w:rPr>
          <w:noProof/>
        </w:rPr>
        <w:t xml:space="preserve">, </w:t>
      </w:r>
      <w:r w:rsidRPr="006B3029">
        <w:rPr>
          <w:noProof/>
          <w:color w:val="000000"/>
        </w:rPr>
        <w:t xml:space="preserve">Alexiu, V., Becker, T., Beldean, M., Biță-Nicolae, C., Csergő, A.M., Dzhovanova, I., Filipova, E., Frink, J.P., Gafta, D., Georgieva, M., Germany, M.S., Goia, I., Gumus, M., Hennekens, S.M., Janišová, M., Knollová, I., Koleva, V., Kostadinova, S., Kuzmanović, N., Loos, J., Mardari, C., Michl, T., Neblea, M.A., Nicoară, R.I., Novák, P, Öllerer, K., Onete, M., Palpurina, S., Paulini, I., Pedashenko, H., Pușcaș, M., Roman, A., Šibík, J., Sîrbu, C., Stancu, D., Sutcliffe, L.M.E., Szabó, A., Tomescu, C.V., Totev, E., Tsvetanov, B., Turtureanu, P.D., Vassileva, P., Velev, N., Dengler, J. (2018). </w:t>
      </w:r>
      <w:r w:rsidRPr="006B3029">
        <w:rPr>
          <w:noProof/>
        </w:rPr>
        <w:t xml:space="preserve">The Romanian Grassland Database (RGD): historical background, current status and future perspectives. </w:t>
      </w:r>
      <w:r w:rsidRPr="006B3029">
        <w:rPr>
          <w:i/>
          <w:iCs/>
          <w:noProof/>
        </w:rPr>
        <w:t>Phytocoenologia</w:t>
      </w:r>
      <w:r w:rsidRPr="006B3029">
        <w:rPr>
          <w:noProof/>
        </w:rPr>
        <w:t xml:space="preserve"> 48: 91-100. </w:t>
      </w:r>
      <w:r w:rsidRPr="006B3029">
        <w:rPr>
          <w:noProof/>
          <w:color w:val="000000"/>
          <w:lang w:val="ro-RO"/>
        </w:rPr>
        <w:t>[</w:t>
      </w:r>
      <w:r w:rsidRPr="006B3029">
        <w:rPr>
          <w:noProof/>
        </w:rPr>
        <w:t>FI</w:t>
      </w:r>
      <w:r w:rsidRPr="006B3029">
        <w:rPr>
          <w:noProof/>
          <w:color w:val="000000"/>
          <w:lang w:val="ro-RO"/>
        </w:rPr>
        <w:t>=1,657]</w:t>
      </w:r>
    </w:p>
    <w:p w14:paraId="3CC0FDB9" w14:textId="77777777" w:rsidR="0030250E" w:rsidRPr="006B3029" w:rsidRDefault="0030250E" w:rsidP="0030250E">
      <w:pPr>
        <w:numPr>
          <w:ilvl w:val="0"/>
          <w:numId w:val="2"/>
        </w:numPr>
        <w:spacing w:line="320" w:lineRule="atLeast"/>
        <w:ind w:left="270" w:hanging="270"/>
        <w:rPr>
          <w:noProof/>
          <w:color w:val="000000"/>
          <w:lang w:val="ro-RO"/>
        </w:rPr>
      </w:pPr>
      <w:r w:rsidRPr="006B3029">
        <w:rPr>
          <w:noProof/>
        </w:rPr>
        <w:t xml:space="preserve">Dengler J, Wagner V, Dembicz I, Garcia-Mijangos I, Naqinezhad A, Boch S, Chiarucci A, Conradi T, Filibeck G, Guarino R, Janišova M, Steinbauer MJ, Aćić S, Acosta ATR, Akasaka M, Allers M-A, Apostolova I, Axmanova I, Bakan B, Baranova A, Bardy-Durchhalter M, Bartha S, Baumann E, Becker T, Becker U, Belonovskaya E, Bengtsson K, Benito Alonso JL, Berastegi A, Bergamini A, Bonini I, Bruun HH, Budzhak V, Bueno A, Campos JA, Cancellieri L, Carboni M, Chocarro C, Conti L, Czarniecka-Wiera M, De Frenne P, Deak B, Didukh YP, Diekmann M, Dolnik C, Dupre C, Ecker K, Ermakov N, Erschbamer B, Escudero A, Etayo J, Fajmonova Z, Felde VA, Fernandez Calzado MR, Finckh M, Fotiadis G, Fracchiolla M, Ganeva A, Garcia-Magro D, Gavilan RG, Germany M, Giladi I, Gillet F, Giusso del Galdo GP, Gonzalez JM, Grytnes J-A, Hajek M, Hajkova P, Helm A, Herrera M, Hettenbergerova E, Hobohm C, Hullbusch EM, Ingerpuu N, Jandt U, Jeltsch F, Jensen K, Jentsch A, Jeschke M, Jimenez-Alfaro B, Kącki Z, Kakinuma K, Kapfer J, Kavgacı A, Kelemen A, Kiehl K, Koyama A, Koyanagi TF, Kozub Ł, Kuzemko A, Kyrkjeeide MO, Landi S, Langer N, Lastrucci L, Lazzaro L, Lelli </w:t>
      </w:r>
      <w:r w:rsidRPr="006B3029">
        <w:rPr>
          <w:noProof/>
        </w:rPr>
        <w:lastRenderedPageBreak/>
        <w:t xml:space="preserve">C, Lepš J, Lobel S, Luzuriaga AL, Maccherini S, Magnes M, Malicki M, Marceno C, Mardari C, Mauchamp L, May F, Michelsen O, Molero Mesa J, Molnar Z, Moysiyenko IY, Nakaga YK, Natcheva R, Noroozi J, Pakeman RJ, Palpurina S, Partel M, Patsch R, Pauli H, Pedashenko H, Peet RK, Pielech R, Pipenbaher N, Pirini C, Pleskova </w:t>
      </w:r>
      <w:r w:rsidRPr="006B3029">
        <w:rPr>
          <w:noProof/>
          <w:lang w:val="ro-RO"/>
        </w:rPr>
        <w:t>Z</w:t>
      </w:r>
      <w:r w:rsidRPr="006B3029">
        <w:rPr>
          <w:noProof/>
        </w:rPr>
        <w:t xml:space="preserve">, Polyakova MA, Prentice HC, Reinecke J, Reitalu T, Rodriguez-Rojo MP, Roleček J, Ronkin V, Rosati L, Rosen E, </w:t>
      </w:r>
      <w:r w:rsidRPr="006B3029">
        <w:rPr>
          <w:noProof/>
          <w:u w:val="single"/>
        </w:rPr>
        <w:t>Ruprecht E</w:t>
      </w:r>
      <w:r w:rsidRPr="006B3029">
        <w:rPr>
          <w:noProof/>
        </w:rPr>
        <w:t xml:space="preserve">, Rusina S, Sabovljević M, Sanchez AM, Savchenko G, Schuhmacher O, Škornik S, Sperandii MG, Staniaszek-Kik M, Stevanović-Dajić Z, Stock M, Suchrow S, Sutcliffe LME, Swacha G, Sykes M, Szabó A, Talebi A, Tănase C, Terzi M, Tölgyesi C, Torca M, Török P, Tóthmérész B, Tsarevskaya N, Tsiripidis I, Tzonev R, Ushimaru A, Valkó O, van der Maarel E, Vanneste T, Vashenyak I, Vassilev, Viciani KD, Villar L, Virtanen R, Vitasović Kosić I, Wang Y, Weiser F, Went J, Wesche K, White H, Winkler M, Zaniewski PT, Zhang H, Ziv Y, Znamenskiy S, Biurrun I (2018). GrassPlot – a database of multi-scale plant diversity in Palaearctic grasslands. </w:t>
      </w:r>
      <w:r w:rsidRPr="006B3029">
        <w:rPr>
          <w:i/>
          <w:iCs/>
          <w:noProof/>
        </w:rPr>
        <w:t>Phytocoenologia</w:t>
      </w:r>
      <w:r w:rsidRPr="006B3029">
        <w:rPr>
          <w:noProof/>
        </w:rPr>
        <w:t xml:space="preserve"> 48: 331–347. </w:t>
      </w:r>
      <w:r w:rsidRPr="006B3029">
        <w:rPr>
          <w:noProof/>
          <w:color w:val="000000"/>
          <w:lang w:val="ro-RO"/>
        </w:rPr>
        <w:t>[</w:t>
      </w:r>
      <w:r w:rsidRPr="006B3029">
        <w:rPr>
          <w:noProof/>
        </w:rPr>
        <w:t>FI</w:t>
      </w:r>
      <w:r w:rsidRPr="006B3029">
        <w:rPr>
          <w:noProof/>
          <w:color w:val="000000"/>
          <w:lang w:val="ro-RO"/>
        </w:rPr>
        <w:t>=1,657]</w:t>
      </w:r>
    </w:p>
    <w:p w14:paraId="52D2687D" w14:textId="77777777" w:rsidR="0030250E" w:rsidRPr="006B3029" w:rsidRDefault="0030250E" w:rsidP="0030250E">
      <w:pPr>
        <w:numPr>
          <w:ilvl w:val="0"/>
          <w:numId w:val="2"/>
        </w:numPr>
        <w:spacing w:line="320" w:lineRule="atLeast"/>
        <w:ind w:left="270" w:hanging="270"/>
        <w:rPr>
          <w:noProof/>
          <w:color w:val="000000"/>
          <w:lang w:val="ro-RO"/>
        </w:rPr>
      </w:pPr>
      <w:r w:rsidRPr="006B3029">
        <w:rPr>
          <w:noProof/>
        </w:rPr>
        <w:t xml:space="preserve">Feurdean A, </w:t>
      </w:r>
      <w:r w:rsidRPr="006B3029">
        <w:rPr>
          <w:noProof/>
          <w:u w:val="single"/>
        </w:rPr>
        <w:t>Ruprecht E</w:t>
      </w:r>
      <w:r w:rsidRPr="006B3029">
        <w:rPr>
          <w:noProof/>
        </w:rPr>
        <w:t xml:space="preserve">, Molnár Z, Hutchinson SM, Hickler T (2018). Biodiversity-rich European grasslands: ancient, forgotten ecosystems. </w:t>
      </w:r>
      <w:r w:rsidRPr="006B3029">
        <w:rPr>
          <w:i/>
          <w:iCs/>
          <w:noProof/>
        </w:rPr>
        <w:t>Biological Conservation</w:t>
      </w:r>
      <w:r w:rsidRPr="006B3029">
        <w:rPr>
          <w:noProof/>
        </w:rPr>
        <w:t xml:space="preserve"> 228: 224–232. </w:t>
      </w:r>
      <w:r w:rsidRPr="006B3029">
        <w:rPr>
          <w:noProof/>
          <w:color w:val="000000"/>
          <w:lang w:val="ro-RO"/>
        </w:rPr>
        <w:t>[</w:t>
      </w:r>
      <w:r w:rsidRPr="006B3029">
        <w:rPr>
          <w:noProof/>
        </w:rPr>
        <w:t>FI</w:t>
      </w:r>
      <w:r w:rsidRPr="006B3029">
        <w:rPr>
          <w:noProof/>
          <w:color w:val="000000"/>
          <w:lang w:val="ro-RO"/>
        </w:rPr>
        <w:t>=4,660]</w:t>
      </w:r>
    </w:p>
    <w:p w14:paraId="6CFF6BC8" w14:textId="77777777" w:rsidR="0030250E" w:rsidRPr="006B3029" w:rsidRDefault="0030250E" w:rsidP="0030250E">
      <w:pPr>
        <w:numPr>
          <w:ilvl w:val="0"/>
          <w:numId w:val="2"/>
        </w:numPr>
        <w:spacing w:line="320" w:lineRule="atLeast"/>
        <w:ind w:left="270" w:hanging="270"/>
        <w:rPr>
          <w:noProof/>
          <w:color w:val="000000"/>
          <w:lang w:val="ro-RO"/>
        </w:rPr>
      </w:pPr>
      <w:r w:rsidRPr="006B3029">
        <w:rPr>
          <w:noProof/>
        </w:rPr>
        <w:t xml:space="preserve">Szabó A, </w:t>
      </w:r>
      <w:r w:rsidRPr="006B3029">
        <w:rPr>
          <w:noProof/>
          <w:u w:val="single"/>
        </w:rPr>
        <w:t>Ruprecht E</w:t>
      </w:r>
      <w:r w:rsidRPr="006B3029">
        <w:rPr>
          <w:noProof/>
        </w:rPr>
        <w:t xml:space="preserve"> (2018). Restoration possibilities of dry grasslands afforested by pine: the role of seed bank and remnant vegetation. </w:t>
      </w:r>
      <w:r w:rsidRPr="006B3029">
        <w:rPr>
          <w:i/>
          <w:iCs/>
          <w:noProof/>
        </w:rPr>
        <w:t>Tuexenia</w:t>
      </w:r>
      <w:r w:rsidRPr="006B3029">
        <w:rPr>
          <w:noProof/>
        </w:rPr>
        <w:t xml:space="preserve"> 38: 405–418. </w:t>
      </w:r>
      <w:r w:rsidRPr="006B3029">
        <w:rPr>
          <w:noProof/>
          <w:color w:val="000000"/>
          <w:lang w:val="ro-RO"/>
        </w:rPr>
        <w:t>[</w:t>
      </w:r>
      <w:r w:rsidRPr="006B3029">
        <w:rPr>
          <w:noProof/>
        </w:rPr>
        <w:t>FI</w:t>
      </w:r>
      <w:r w:rsidRPr="006B3029">
        <w:rPr>
          <w:noProof/>
          <w:color w:val="000000"/>
          <w:lang w:val="ro-RO"/>
        </w:rPr>
        <w:t>=1,125]</w:t>
      </w:r>
    </w:p>
    <w:p w14:paraId="1DD6D8D6" w14:textId="77777777" w:rsidR="0030250E" w:rsidRPr="006B3029" w:rsidRDefault="0030250E" w:rsidP="0030250E">
      <w:pPr>
        <w:numPr>
          <w:ilvl w:val="0"/>
          <w:numId w:val="2"/>
        </w:numPr>
        <w:spacing w:line="320" w:lineRule="atLeast"/>
        <w:ind w:left="270" w:hanging="270"/>
        <w:rPr>
          <w:noProof/>
        </w:rPr>
      </w:pPr>
      <w:r w:rsidRPr="006B3029">
        <w:rPr>
          <w:noProof/>
        </w:rPr>
        <w:t xml:space="preserve">Görzen, E., Borisova, K., Fenesi, A., </w:t>
      </w:r>
      <w:r w:rsidRPr="006B3029">
        <w:rPr>
          <w:noProof/>
          <w:u w:val="single"/>
        </w:rPr>
        <w:t>Ruprecht, E.</w:t>
      </w:r>
      <w:r w:rsidRPr="006B3029">
        <w:rPr>
          <w:noProof/>
        </w:rPr>
        <w:t xml:space="preserve">, Donath, T.W. (2019) Effects of woody species encroachment and fire on vegetation and the soil seed bank in dry grasslands of Transylvania. </w:t>
      </w:r>
      <w:r w:rsidRPr="006B3029">
        <w:rPr>
          <w:i/>
          <w:iCs/>
          <w:noProof/>
        </w:rPr>
        <w:t>Applied Vegetation Science</w:t>
      </w:r>
      <w:r w:rsidRPr="006B3029">
        <w:rPr>
          <w:noProof/>
        </w:rPr>
        <w:t xml:space="preserve"> 22: 409–422.</w:t>
      </w:r>
    </w:p>
    <w:p w14:paraId="564942E9" w14:textId="77777777" w:rsidR="0030250E" w:rsidRPr="006B3029" w:rsidRDefault="0030250E" w:rsidP="0030250E">
      <w:pPr>
        <w:numPr>
          <w:ilvl w:val="0"/>
          <w:numId w:val="2"/>
        </w:numPr>
        <w:spacing w:line="320" w:lineRule="atLeast"/>
        <w:ind w:left="270" w:hanging="270"/>
        <w:rPr>
          <w:noProof/>
        </w:rPr>
      </w:pPr>
      <w:r w:rsidRPr="006B3029">
        <w:rPr>
          <w:noProof/>
        </w:rPr>
        <w:t xml:space="preserve">Fenesi, A., Sándor, D., Pyšek, P., Dawson, W., </w:t>
      </w:r>
      <w:r w:rsidRPr="006B3029">
        <w:rPr>
          <w:noProof/>
          <w:u w:val="single"/>
        </w:rPr>
        <w:t>Ruprecht, E.</w:t>
      </w:r>
      <w:r w:rsidRPr="006B3029">
        <w:rPr>
          <w:noProof/>
        </w:rPr>
        <w:t xml:space="preserve">, Essl, F., Kreft, H., Pergl, J., Weigelt, P., Winter, M., van Kleunen, M. (2019). The role of fruit heteromorphism in the naturalization of Asteraceae. </w:t>
      </w:r>
      <w:r w:rsidRPr="006B3029">
        <w:rPr>
          <w:i/>
          <w:iCs/>
          <w:noProof/>
        </w:rPr>
        <w:t xml:space="preserve">Annals of Botany </w:t>
      </w:r>
      <w:r w:rsidRPr="006B3029">
        <w:rPr>
          <w:noProof/>
        </w:rPr>
        <w:t>123: 1043–1052.</w:t>
      </w:r>
    </w:p>
    <w:p w14:paraId="5398D530" w14:textId="77777777" w:rsidR="0030250E" w:rsidRPr="006B3029" w:rsidRDefault="0030250E" w:rsidP="0030250E">
      <w:pPr>
        <w:numPr>
          <w:ilvl w:val="0"/>
          <w:numId w:val="2"/>
        </w:numPr>
        <w:spacing w:line="320" w:lineRule="atLeast"/>
        <w:ind w:left="270" w:hanging="270"/>
        <w:rPr>
          <w:noProof/>
        </w:rPr>
      </w:pPr>
      <w:r w:rsidRPr="006B3029">
        <w:rPr>
          <w:noProof/>
        </w:rPr>
        <w:t xml:space="preserve">Bruelheide, H., Dengler, J., Jiménez-Alfaro, B., Purschke, O., Hennekens, S. M., Chytrý, M., </w:t>
      </w:r>
      <w:r w:rsidRPr="006B3029">
        <w:rPr>
          <w:noProof/>
          <w:color w:val="000000"/>
        </w:rPr>
        <w:t xml:space="preserve">Valério D. Pillar, Florian Jansen, Jens Kattge, Brody Sandel, Isabelle Aubin, Idoia Biurrun, Richard Field, Sylvia Haider, Ute Jandt, Jonathan Lenoir, Robert K. Peet, Gwendolyn Peyre, Francesco Maria Sabatini, Marco Schmidt, Franziska Schrodt, Marten Winter, Svetlana Aćić, Emiliano Agrillo, Miguel Alvarez, Didem Ambarlı, Pierangela Angelini, Iva Apostolova, Mohammed A.S. Arfin Khan, Elise Arnst, Fabio Attorre, Christopher Baraloto, Michael Beckmann, Christian Berg, Yves Bergeron, Erwin Bergmeier, Anne D. Bjorkman, Viktoria Bondareva, Peter Borchardt, Zoltán Botta-Dukát, Brad Boyle, Amy Breen, Henry Brisse, Chaeho Byun, Marcelo R. Cabido, Laura Casella, Luis Cayuela, Tomáš Černý, Victor Chepinoga, János Csiky, Michael Curran, Renata Ćušterevska, Zora Dajić Stevanović, Els De Bie, Patrice De Ruffray, Michele De Sanctis, Panayotis Dimopoulos, Stefan Dressler, Rasmus Ejrnæs, Mohamed Abd El-Rouf Mousa El-Sheikh, Brian Enquist, Jörg Ewald, Jaime Fagúndez, Manfred Finckh, Xavier Font, Estelle Forey, Georgios Fotiadis, Itziar García-Mijangos, André Luis de Gasper, Valentin Golub, Alvaro G. Gutierrez, Mohamed Z. Hatim, Tianhua He, Pedro Higuchi, Dana Holubová, Norbert Hölzel, Jürgen Homeier, Adrian Indreica, Deniz Işık Gürsoy, Steven Jansen, John Janssen, Birgit Jedrzejek, Martin Jiroušek, Norbert Jürgens, Zygmunt Kącki, Ali Kavgacı, Elizabeth Kearsley, Michael Kessler, Ilona Knollová, Vitaliy Kolomiychuk, </w:t>
      </w:r>
      <w:r w:rsidRPr="006B3029">
        <w:rPr>
          <w:noProof/>
          <w:color w:val="000000"/>
        </w:rPr>
        <w:lastRenderedPageBreak/>
        <w:t xml:space="preserve">Andrey Korolyuk, Maria Kozhevnikova, Łukasz Kozub, Daniel Krstonošić, Hjalmar Kühl, Ingolf Kühn, Anna Kuzemko, Filip Küzmič, Flavia Landucci, Michael T. Lee, Aurora Levesley, Ching-Feng Li, Hongyan Liu, Gabriela Lopez-Gonzalez, Tatiana Lysenko, Armin Macanović, Parastoo Mahdavi, Peter Manning, Corrado Marcenò, Vassiliy Martynenko, Maurizio Mencuccini, Vanessa Minden, Jesper Erenskjold Moeslund, Marco Moretti, Jonas V. Müller, Jérôme Munzinger, Ülo Niinemets, Marcin Nobis, Jalil Noroozi, Arkadiusz Nowak, Viktor Onyshchenko, Gerhard E. Overbeck, Wim A. Ozinga, Anibal Pauchard, Hristo Pedashenko, Josep Peñuelas, Aaron Pérez-Haase, Tomáš Peterka, Petr Petřík, Oliver L. Phillips, Vadim Prokhorov, Valerijus Rašomavičius, Rasmus Revermann, John Rodwell, </w:t>
      </w:r>
      <w:r w:rsidRPr="006B3029">
        <w:rPr>
          <w:noProof/>
          <w:color w:val="000000"/>
          <w:u w:val="single"/>
        </w:rPr>
        <w:t>Eszter Ruprecht</w:t>
      </w:r>
      <w:r w:rsidRPr="006B3029">
        <w:rPr>
          <w:noProof/>
          <w:color w:val="000000"/>
        </w:rPr>
        <w:t>, Solvita Rūsiņa, Cyrus Samimi, Joop H.J. Schaminée, Ute Schmiedel, Jozef Šibík, Urban Šilc, Željko Škvorc, Anita Smyth, Tenekwetche Sop, Desislava Sopotlieva, Ben Sparrow, Zvjezdana Stančić, Jens-Christian Svenning, Grzegorz Swacha, Zhiyao Tang, Ioannis Tsiripidis, Pavel Dan Turtureanu, Emin Ugurlu, Domas Uogintas, Milan Valachovič, Kim André Vanselow, Yulia Vashenyak, Kiril Vassilev, Eduardo Vélez-Martin, Roberto Venanzoni, Alexander Christian Vibrans, Cyrille Violle, Risto Virtanen, Henrik von Wehrden, Viktoria Wagner, Donald A. Walker, Desalegn Wana, Evan Weiher, Karsten Wesche, Timothy Whitfeld, Wolfgang Willner, Susan Wiser, Thomas Wohlgemuth, Sergey Yamalov, Georg Zizka,</w:t>
      </w:r>
      <w:r w:rsidRPr="006B3029">
        <w:rPr>
          <w:noProof/>
        </w:rPr>
        <w:t xml:space="preserve"> Zverev, A. (2019). sPlot – A new tool for global vegetation analyses. </w:t>
      </w:r>
      <w:r w:rsidRPr="006B3029">
        <w:rPr>
          <w:i/>
          <w:iCs/>
          <w:noProof/>
        </w:rPr>
        <w:t>Journal of Vegetation Science</w:t>
      </w:r>
      <w:r w:rsidRPr="006B3029">
        <w:rPr>
          <w:noProof/>
        </w:rPr>
        <w:t xml:space="preserve"> 30: 161-186.</w:t>
      </w:r>
    </w:p>
    <w:p w14:paraId="29376589" w14:textId="77777777" w:rsidR="0030250E" w:rsidRPr="006B3029" w:rsidRDefault="0030250E" w:rsidP="0030250E">
      <w:pPr>
        <w:numPr>
          <w:ilvl w:val="0"/>
          <w:numId w:val="2"/>
        </w:numPr>
        <w:spacing w:line="320" w:lineRule="atLeast"/>
        <w:ind w:left="270" w:hanging="270"/>
        <w:rPr>
          <w:noProof/>
        </w:rPr>
      </w:pPr>
      <w:r w:rsidRPr="006B3029">
        <w:rPr>
          <w:noProof/>
        </w:rPr>
        <w:t>Kuhn, T., Jan</w:t>
      </w:r>
      <w:r w:rsidRPr="006B3029">
        <w:rPr>
          <w:noProof/>
          <w:lang w:val="hu"/>
        </w:rPr>
        <w:t xml:space="preserve">csó, B., </w:t>
      </w:r>
      <w:r w:rsidRPr="006B3029">
        <w:rPr>
          <w:noProof/>
          <w:u w:val="single"/>
          <w:lang w:val="hu"/>
        </w:rPr>
        <w:t>Ruprecht E.</w:t>
      </w:r>
      <w:r w:rsidRPr="006B3029">
        <w:rPr>
          <w:noProof/>
          <w:lang w:val="hu"/>
        </w:rPr>
        <w:t xml:space="preserve"> 2020. </w:t>
      </w:r>
      <w:r w:rsidRPr="006B3029">
        <w:rPr>
          <w:noProof/>
        </w:rPr>
        <w:t>Hawthorn (</w:t>
      </w:r>
      <w:r w:rsidRPr="006B3029">
        <w:rPr>
          <w:i/>
          <w:iCs/>
          <w:noProof/>
        </w:rPr>
        <w:t>Crataegus</w:t>
      </w:r>
      <w:r w:rsidRPr="006B3029">
        <w:rPr>
          <w:noProof/>
        </w:rPr>
        <w:t xml:space="preserve"> L.) taxa and their hybrids in north-western Romania: a recommendation for national identification keys based on morphometric analyses. </w:t>
      </w:r>
      <w:r w:rsidRPr="006B3029">
        <w:rPr>
          <w:i/>
          <w:iCs/>
          <w:noProof/>
        </w:rPr>
        <w:t>Contribuții Botanice</w:t>
      </w:r>
      <w:r w:rsidRPr="006B3029">
        <w:rPr>
          <w:noProof/>
        </w:rPr>
        <w:t xml:space="preserve"> LV: 7-26.</w:t>
      </w:r>
    </w:p>
    <w:p w14:paraId="4D3EFD1B" w14:textId="77777777" w:rsidR="0030250E" w:rsidRPr="006B3029" w:rsidRDefault="0030250E" w:rsidP="0030250E">
      <w:pPr>
        <w:numPr>
          <w:ilvl w:val="0"/>
          <w:numId w:val="2"/>
        </w:numPr>
        <w:spacing w:line="320" w:lineRule="atLeast"/>
        <w:ind w:left="270" w:hanging="270"/>
        <w:rPr>
          <w:noProof/>
          <w:lang w:val="ro-RO"/>
        </w:rPr>
      </w:pPr>
      <w:r w:rsidRPr="006B3029">
        <w:rPr>
          <w:noProof/>
          <w:lang w:val="ro-RO"/>
        </w:rPr>
        <w:t xml:space="preserve">Fenesi, A., Kelemen, K., Sándor, D., </w:t>
      </w:r>
      <w:r w:rsidRPr="006B3029">
        <w:rPr>
          <w:noProof/>
          <w:u w:val="single"/>
          <w:lang w:val="ro-RO"/>
        </w:rPr>
        <w:t>Ruprecht, E.</w:t>
      </w:r>
      <w:r w:rsidRPr="006B3029">
        <w:rPr>
          <w:noProof/>
          <w:lang w:val="ro-RO"/>
        </w:rPr>
        <w:t xml:space="preserve"> 2020. Influential neighbours: Seeds of dominant species affect the germination of common grassland species. </w:t>
      </w:r>
      <w:r w:rsidRPr="006B3029">
        <w:rPr>
          <w:i/>
          <w:iCs/>
          <w:noProof/>
          <w:lang w:val="ro-RO"/>
        </w:rPr>
        <w:t>Journal of Vegetation Science</w:t>
      </w:r>
      <w:r w:rsidRPr="006B3029">
        <w:rPr>
          <w:noProof/>
          <w:lang w:val="ro-RO"/>
        </w:rPr>
        <w:t xml:space="preserve"> 31 (6): 1028-1038.</w:t>
      </w:r>
    </w:p>
    <w:p w14:paraId="0480C177" w14:textId="77777777" w:rsidR="0030250E" w:rsidRPr="006B3029" w:rsidRDefault="0030250E" w:rsidP="0030250E">
      <w:pPr>
        <w:numPr>
          <w:ilvl w:val="0"/>
          <w:numId w:val="2"/>
        </w:numPr>
        <w:autoSpaceDE w:val="0"/>
      </w:pPr>
      <w:r w:rsidRPr="006B3029">
        <w:t>Kuhn, T., Jan</w:t>
      </w:r>
      <w:r w:rsidRPr="006B3029">
        <w:rPr>
          <w:lang w:val="hu-HU"/>
        </w:rPr>
        <w:t xml:space="preserve">csó, B., </w:t>
      </w:r>
      <w:r w:rsidRPr="006B3029">
        <w:rPr>
          <w:u w:val="single"/>
          <w:lang w:val="hu-HU"/>
        </w:rPr>
        <w:t>Ruprecht E.</w:t>
      </w:r>
      <w:r w:rsidRPr="006B3029">
        <w:rPr>
          <w:lang w:val="hu-HU"/>
        </w:rPr>
        <w:t xml:space="preserve"> (2020). </w:t>
      </w:r>
      <w:r w:rsidRPr="006B3029">
        <w:t>Hawthorn (</w:t>
      </w:r>
      <w:r w:rsidRPr="006B3029">
        <w:rPr>
          <w:i/>
        </w:rPr>
        <w:t>Crataegus</w:t>
      </w:r>
      <w:r w:rsidRPr="006B3029">
        <w:t xml:space="preserve"> L.) taxa and their hybrids in north-western Romania: a recommendation for national identification keys based on morphometric analyses. </w:t>
      </w:r>
      <w:proofErr w:type="spellStart"/>
      <w:r w:rsidRPr="006B3029">
        <w:rPr>
          <w:i/>
        </w:rPr>
        <w:t>Contribu</w:t>
      </w:r>
      <w:proofErr w:type="spellEnd"/>
      <w:r w:rsidRPr="006B3029">
        <w:rPr>
          <w:i/>
          <w:lang w:val="ro-RO"/>
        </w:rPr>
        <w:t>ții Botanice</w:t>
      </w:r>
      <w:r w:rsidRPr="006B3029">
        <w:rPr>
          <w:lang w:val="ro-RO"/>
        </w:rPr>
        <w:t xml:space="preserve"> </w:t>
      </w:r>
      <w:r w:rsidRPr="006B3029">
        <w:t>LV: 7-26.</w:t>
      </w:r>
    </w:p>
    <w:p w14:paraId="5A8A9EBD" w14:textId="77777777" w:rsidR="0030250E" w:rsidRPr="006B3029" w:rsidRDefault="0030250E" w:rsidP="0030250E">
      <w:pPr>
        <w:numPr>
          <w:ilvl w:val="0"/>
          <w:numId w:val="2"/>
        </w:numPr>
        <w:ind w:left="450" w:hanging="450"/>
      </w:pPr>
      <w:r w:rsidRPr="006B3029">
        <w:t xml:space="preserve">Kuhn, T., Domokos, P., Kiss, R., </w:t>
      </w:r>
      <w:r w:rsidRPr="006B3029">
        <w:rPr>
          <w:u w:val="single"/>
        </w:rPr>
        <w:t>Ruprecht, E.</w:t>
      </w:r>
      <w:r w:rsidRPr="006B3029">
        <w:t xml:space="preserve"> (2021). Grassland management and land use history shape species composition and diversity in Transylvanian semi‐natural grasslands. </w:t>
      </w:r>
      <w:r w:rsidRPr="006B3029">
        <w:rPr>
          <w:i/>
          <w:iCs/>
        </w:rPr>
        <w:t>Applied Vegetation Science</w:t>
      </w:r>
      <w:r w:rsidRPr="006B3029">
        <w:t xml:space="preserve"> </w:t>
      </w:r>
      <w:r w:rsidRPr="006B3029">
        <w:rPr>
          <w:iCs/>
        </w:rPr>
        <w:t xml:space="preserve">24 </w:t>
      </w:r>
      <w:r w:rsidRPr="006B3029">
        <w:t xml:space="preserve">(2), p.e12585. </w:t>
      </w:r>
      <w:r w:rsidRPr="006B3029">
        <w:rPr>
          <w:color w:val="000000"/>
          <w:lang w:val="ro-RO" w:eastAsia="ro-RO"/>
        </w:rPr>
        <w:t>[</w:t>
      </w:r>
      <w:r w:rsidRPr="006B3029">
        <w:t>FI</w:t>
      </w:r>
      <w:r w:rsidRPr="006B3029">
        <w:rPr>
          <w:color w:val="000000"/>
          <w:lang w:val="ro-RO" w:eastAsia="ro-RO"/>
        </w:rPr>
        <w:t>=3,431]</w:t>
      </w:r>
    </w:p>
    <w:p w14:paraId="12F88E75" w14:textId="77777777" w:rsidR="0030250E" w:rsidRPr="006B3029" w:rsidRDefault="0030250E" w:rsidP="0030250E">
      <w:pPr>
        <w:numPr>
          <w:ilvl w:val="0"/>
          <w:numId w:val="2"/>
        </w:numPr>
        <w:ind w:left="450" w:hanging="450"/>
        <w:rPr>
          <w:color w:val="000000"/>
          <w:lang w:val="ro-RO" w:eastAsia="ro-RO"/>
        </w:rPr>
      </w:pPr>
      <w:r w:rsidRPr="006B3029">
        <w:t xml:space="preserve">Kuhn, T., Györfi, O., </w:t>
      </w:r>
      <w:r w:rsidRPr="006B3029">
        <w:rPr>
          <w:u w:val="single"/>
        </w:rPr>
        <w:t>Ruprecht, E.</w:t>
      </w:r>
      <w:r w:rsidRPr="006B3029">
        <w:t xml:space="preserve"> (2022). Seedling performance, allocation patterns and phenotypic plasticity of two sympatric hawthorn species and their natural hybrid. </w:t>
      </w:r>
      <w:r w:rsidRPr="006B3029">
        <w:rPr>
          <w:i/>
          <w:iCs/>
        </w:rPr>
        <w:t>Flora</w:t>
      </w:r>
      <w:r w:rsidRPr="006B3029">
        <w:t xml:space="preserve"> </w:t>
      </w:r>
      <w:r w:rsidRPr="006B3029">
        <w:rPr>
          <w:iCs/>
        </w:rPr>
        <w:t>287</w:t>
      </w:r>
      <w:r w:rsidRPr="006B3029">
        <w:t xml:space="preserve">, p.151994. </w:t>
      </w:r>
      <w:r w:rsidRPr="006B3029">
        <w:rPr>
          <w:color w:val="000000"/>
          <w:lang w:val="ro-RO" w:eastAsia="ro-RO"/>
        </w:rPr>
        <w:t>[</w:t>
      </w:r>
      <w:r w:rsidRPr="006B3029">
        <w:t>FI</w:t>
      </w:r>
      <w:r w:rsidRPr="006B3029">
        <w:rPr>
          <w:color w:val="000000"/>
          <w:lang w:val="ro-RO" w:eastAsia="ro-RO"/>
        </w:rPr>
        <w:t>=2,22]</w:t>
      </w:r>
    </w:p>
    <w:p w14:paraId="647DD127" w14:textId="77777777" w:rsidR="0030250E" w:rsidRPr="006B3029" w:rsidRDefault="0030250E" w:rsidP="0030250E">
      <w:pPr>
        <w:numPr>
          <w:ilvl w:val="0"/>
          <w:numId w:val="2"/>
        </w:numPr>
        <w:ind w:left="450" w:hanging="450"/>
        <w:rPr>
          <w:color w:val="000000"/>
        </w:rPr>
      </w:pPr>
      <w:r w:rsidRPr="006B3029">
        <w:rPr>
          <w:color w:val="000000"/>
        </w:rPr>
        <w:t xml:space="preserve">Kuhn, T., </w:t>
      </w:r>
      <w:r w:rsidRPr="006B3029">
        <w:rPr>
          <w:color w:val="000000"/>
          <w:u w:val="single"/>
        </w:rPr>
        <w:t>Ruprecht, E.</w:t>
      </w:r>
      <w:r w:rsidRPr="006B3029">
        <w:rPr>
          <w:color w:val="000000"/>
        </w:rPr>
        <w:t xml:space="preserve"> (2023). Niche breadth and overlap of </w:t>
      </w:r>
      <w:proofErr w:type="spellStart"/>
      <w:r w:rsidRPr="006B3029">
        <w:rPr>
          <w:color w:val="000000"/>
        </w:rPr>
        <w:t>pseudogamous</w:t>
      </w:r>
      <w:proofErr w:type="spellEnd"/>
      <w:r w:rsidRPr="006B3029">
        <w:rPr>
          <w:color w:val="000000"/>
        </w:rPr>
        <w:t xml:space="preserve"> apomictic Crataegus hybrids and their progenitors in north-western Romania. </w:t>
      </w:r>
      <w:proofErr w:type="spellStart"/>
      <w:r w:rsidRPr="006B3029">
        <w:rPr>
          <w:i/>
          <w:color w:val="000000"/>
        </w:rPr>
        <w:t>Preslia</w:t>
      </w:r>
      <w:proofErr w:type="spellEnd"/>
      <w:r w:rsidRPr="006B3029">
        <w:rPr>
          <w:color w:val="000000"/>
        </w:rPr>
        <w:t xml:space="preserve"> 95(4): 447-474.</w:t>
      </w:r>
    </w:p>
    <w:p w14:paraId="49CDBD47" w14:textId="77777777" w:rsidR="0030250E" w:rsidRPr="006B3029" w:rsidRDefault="0030250E" w:rsidP="0030250E">
      <w:pPr>
        <w:numPr>
          <w:ilvl w:val="0"/>
          <w:numId w:val="2"/>
        </w:numPr>
        <w:ind w:left="450" w:hanging="450"/>
      </w:pPr>
      <w:r w:rsidRPr="006B3029">
        <w:rPr>
          <w:u w:val="single"/>
        </w:rPr>
        <w:t>Ruprecht, E.</w:t>
      </w:r>
      <w:r w:rsidRPr="006B3029">
        <w:t xml:space="preserve">, Essl, F., </w:t>
      </w:r>
      <w:proofErr w:type="spellStart"/>
      <w:r w:rsidRPr="006B3029">
        <w:t>Moț</w:t>
      </w:r>
      <w:proofErr w:type="spellEnd"/>
      <w:r w:rsidRPr="006B3029">
        <w:t xml:space="preserve">, C.A., Balaji, B., Kuhn, T., Fenesi, A., Mardari, C., </w:t>
      </w:r>
      <w:proofErr w:type="spellStart"/>
      <w:r w:rsidRPr="006B3029">
        <w:t>Miholcsa</w:t>
      </w:r>
      <w:proofErr w:type="spellEnd"/>
      <w:r w:rsidRPr="006B3029">
        <w:t xml:space="preserve">, Z. (2024). Ecological attributes promoting intra-continental range-expansion of a native annual forb triggered by intensified land-use. </w:t>
      </w:r>
      <w:r w:rsidRPr="006B3029">
        <w:rPr>
          <w:i/>
          <w:iCs/>
        </w:rPr>
        <w:t>Flora</w:t>
      </w:r>
      <w:r w:rsidRPr="006B3029">
        <w:t xml:space="preserve">, </w:t>
      </w:r>
      <w:r w:rsidRPr="006B3029">
        <w:rPr>
          <w:i/>
          <w:iCs/>
        </w:rPr>
        <w:t>310</w:t>
      </w:r>
      <w:r w:rsidRPr="006B3029">
        <w:t>, p.152416.</w:t>
      </w:r>
    </w:p>
    <w:p w14:paraId="74E32D26" w14:textId="77777777" w:rsidR="0030250E" w:rsidRPr="006B3029" w:rsidRDefault="0030250E" w:rsidP="0030250E">
      <w:pPr>
        <w:numPr>
          <w:ilvl w:val="0"/>
          <w:numId w:val="2"/>
        </w:numPr>
      </w:pPr>
      <w:r w:rsidRPr="006B3029">
        <w:rPr>
          <w:bCs/>
        </w:rPr>
        <w:t xml:space="preserve">Jiménez-Alfaro, B., </w:t>
      </w:r>
      <w:proofErr w:type="spellStart"/>
      <w:r w:rsidRPr="006B3029">
        <w:rPr>
          <w:bCs/>
        </w:rPr>
        <w:t>Abdulhak</w:t>
      </w:r>
      <w:proofErr w:type="spellEnd"/>
      <w:r w:rsidRPr="006B3029">
        <w:rPr>
          <w:bCs/>
        </w:rPr>
        <w:t xml:space="preserve">, S., </w:t>
      </w:r>
      <w:proofErr w:type="spellStart"/>
      <w:r w:rsidRPr="006B3029">
        <w:rPr>
          <w:bCs/>
        </w:rPr>
        <w:t>Attorre</w:t>
      </w:r>
      <w:proofErr w:type="spellEnd"/>
      <w:r w:rsidRPr="006B3029">
        <w:rPr>
          <w:bCs/>
        </w:rPr>
        <w:t xml:space="preserve">, F., Bergamini, A., Carranza, M.L., Chiarucci, A., </w:t>
      </w:r>
      <w:proofErr w:type="spellStart"/>
      <w:r w:rsidRPr="006B3029">
        <w:rPr>
          <w:bCs/>
        </w:rPr>
        <w:t>Ćušterevska</w:t>
      </w:r>
      <w:proofErr w:type="spellEnd"/>
      <w:r w:rsidRPr="006B3029">
        <w:rPr>
          <w:bCs/>
        </w:rPr>
        <w:t xml:space="preserve">, R., Dullinger, S., </w:t>
      </w:r>
      <w:proofErr w:type="spellStart"/>
      <w:r w:rsidRPr="006B3029">
        <w:rPr>
          <w:bCs/>
        </w:rPr>
        <w:t>Gavilán</w:t>
      </w:r>
      <w:proofErr w:type="spellEnd"/>
      <w:r w:rsidRPr="006B3029">
        <w:rPr>
          <w:bCs/>
        </w:rPr>
        <w:t xml:space="preserve">, R.G., del Galdo, G.G., Kuzmanović, N., </w:t>
      </w:r>
      <w:proofErr w:type="spellStart"/>
      <w:r w:rsidRPr="006B3029">
        <w:rPr>
          <w:bCs/>
        </w:rPr>
        <w:t>Laiolo</w:t>
      </w:r>
      <w:proofErr w:type="spellEnd"/>
      <w:r w:rsidRPr="006B3029">
        <w:rPr>
          <w:bCs/>
        </w:rPr>
        <w:t xml:space="preserve">, P., </w:t>
      </w:r>
      <w:proofErr w:type="spellStart"/>
      <w:r w:rsidRPr="006B3029">
        <w:rPr>
          <w:bCs/>
        </w:rPr>
        <w:t>Loidi</w:t>
      </w:r>
      <w:proofErr w:type="spellEnd"/>
      <w:r w:rsidRPr="006B3029">
        <w:rPr>
          <w:bCs/>
        </w:rPr>
        <w:t xml:space="preserve">, J., </w:t>
      </w:r>
      <w:proofErr w:type="spellStart"/>
      <w:r w:rsidRPr="006B3029">
        <w:rPr>
          <w:bCs/>
        </w:rPr>
        <w:t>Malanson</w:t>
      </w:r>
      <w:proofErr w:type="spellEnd"/>
      <w:r w:rsidRPr="006B3029">
        <w:rPr>
          <w:bCs/>
        </w:rPr>
        <w:t xml:space="preserve">, G.P., </w:t>
      </w:r>
      <w:proofErr w:type="spellStart"/>
      <w:r w:rsidRPr="006B3029">
        <w:rPr>
          <w:bCs/>
        </w:rPr>
        <w:t>Marcenó</w:t>
      </w:r>
      <w:proofErr w:type="spellEnd"/>
      <w:r w:rsidRPr="006B3029">
        <w:rPr>
          <w:bCs/>
        </w:rPr>
        <w:t xml:space="preserve">, C., Milanović, D., Pansing, E.R., Roces-Díaz, J.V., </w:t>
      </w:r>
      <w:r w:rsidRPr="006B3029">
        <w:rPr>
          <w:bCs/>
          <w:u w:val="single"/>
        </w:rPr>
        <w:t>Ruprecht, E.</w:t>
      </w:r>
      <w:r w:rsidRPr="006B3029">
        <w:rPr>
          <w:bCs/>
        </w:rPr>
        <w:t xml:space="preserve">, </w:t>
      </w:r>
      <w:proofErr w:type="spellStart"/>
      <w:r w:rsidRPr="006B3029">
        <w:rPr>
          <w:bCs/>
        </w:rPr>
        <w:t>Šibik</w:t>
      </w:r>
      <w:proofErr w:type="spellEnd"/>
      <w:r w:rsidRPr="006B3029">
        <w:rPr>
          <w:bCs/>
        </w:rPr>
        <w:t xml:space="preserve">, J., Stanisci, A., Testolin, R., </w:t>
      </w:r>
      <w:proofErr w:type="spellStart"/>
      <w:r w:rsidRPr="006B3029">
        <w:rPr>
          <w:bCs/>
        </w:rPr>
        <w:t>Theurillat</w:t>
      </w:r>
      <w:proofErr w:type="spellEnd"/>
      <w:r w:rsidRPr="006B3029">
        <w:rPr>
          <w:bCs/>
        </w:rPr>
        <w:t xml:space="preserve">, J.P., Vassilev, K., </w:t>
      </w:r>
      <w:r w:rsidRPr="006B3029">
        <w:rPr>
          <w:bCs/>
        </w:rPr>
        <w:lastRenderedPageBreak/>
        <w:t>Willner, W., Winkler, M.</w:t>
      </w:r>
      <w:r w:rsidRPr="006B3029">
        <w:t xml:space="preserve"> (2021). Post‐glacial determinants of regional species pools in alpine grasslands. </w:t>
      </w:r>
      <w:r w:rsidRPr="006B3029">
        <w:rPr>
          <w:i/>
          <w:iCs/>
        </w:rPr>
        <w:t>Global Ecology and Biogeography</w:t>
      </w:r>
      <w:r w:rsidRPr="006B3029">
        <w:t xml:space="preserve"> </w:t>
      </w:r>
      <w:r w:rsidRPr="006B3029">
        <w:rPr>
          <w:iCs/>
        </w:rPr>
        <w:t>30</w:t>
      </w:r>
      <w:r w:rsidRPr="006B3029">
        <w:t>(5): 1101-1115.</w:t>
      </w:r>
    </w:p>
    <w:p w14:paraId="4A47FB46" w14:textId="77777777" w:rsidR="0030250E" w:rsidRPr="006B3029" w:rsidRDefault="0030250E" w:rsidP="0030250E">
      <w:pPr>
        <w:numPr>
          <w:ilvl w:val="0"/>
          <w:numId w:val="2"/>
        </w:numPr>
      </w:pPr>
      <w:r w:rsidRPr="006B3029">
        <w:t xml:space="preserve">Sabatini, F.M., Lenoir, J., Hattab, T., Arnst, E.A., </w:t>
      </w:r>
      <w:proofErr w:type="spellStart"/>
      <w:r w:rsidRPr="006B3029">
        <w:t>Chytrý</w:t>
      </w:r>
      <w:proofErr w:type="spellEnd"/>
      <w:r w:rsidRPr="006B3029">
        <w:t xml:space="preserve">, M., Dengler, J., De </w:t>
      </w:r>
      <w:proofErr w:type="spellStart"/>
      <w:r w:rsidRPr="006B3029">
        <w:t>Ruffray</w:t>
      </w:r>
      <w:proofErr w:type="spellEnd"/>
      <w:r w:rsidRPr="006B3029">
        <w:t xml:space="preserve">, P., </w:t>
      </w:r>
      <w:proofErr w:type="spellStart"/>
      <w:r w:rsidRPr="006B3029">
        <w:t>Hennekens</w:t>
      </w:r>
      <w:proofErr w:type="spellEnd"/>
      <w:r w:rsidRPr="006B3029">
        <w:t xml:space="preserve">, S.M., Jandt, U., Jansen, F., </w:t>
      </w:r>
      <w:r w:rsidRPr="006B3029">
        <w:rPr>
          <w:u w:val="single"/>
        </w:rPr>
        <w:t>Ruprecht, E.</w:t>
      </w:r>
      <w:r w:rsidRPr="006B3029">
        <w:t xml:space="preserve">, […], Jiménez‐Alfaro, B. (2021). </w:t>
      </w:r>
      <w:proofErr w:type="spellStart"/>
      <w:r w:rsidRPr="006B3029">
        <w:t>sPlotOpen</w:t>
      </w:r>
      <w:proofErr w:type="spellEnd"/>
      <w:r w:rsidRPr="006B3029">
        <w:t xml:space="preserve">–An environmentally balanced, open‐access, global dataset of vegetation plots. </w:t>
      </w:r>
      <w:r w:rsidRPr="006B3029">
        <w:rPr>
          <w:i/>
          <w:iCs/>
        </w:rPr>
        <w:t>Global Ecology and Biogeography</w:t>
      </w:r>
      <w:r w:rsidRPr="006B3029">
        <w:t xml:space="preserve"> </w:t>
      </w:r>
      <w:r w:rsidRPr="006B3029">
        <w:rPr>
          <w:iCs/>
        </w:rPr>
        <w:t>30</w:t>
      </w:r>
      <w:r w:rsidRPr="006B3029">
        <w:t>(9): 1740-1764.</w:t>
      </w:r>
    </w:p>
    <w:p w14:paraId="467F78A2" w14:textId="77777777" w:rsidR="0030250E" w:rsidRPr="006B3029" w:rsidRDefault="0030250E" w:rsidP="0030250E">
      <w:pPr>
        <w:numPr>
          <w:ilvl w:val="0"/>
          <w:numId w:val="2"/>
        </w:numPr>
      </w:pPr>
      <w:proofErr w:type="spellStart"/>
      <w:r w:rsidRPr="006B3029">
        <w:t>Biurrun</w:t>
      </w:r>
      <w:proofErr w:type="spellEnd"/>
      <w:r w:rsidRPr="006B3029">
        <w:t xml:space="preserve">, I., </w:t>
      </w:r>
      <w:proofErr w:type="spellStart"/>
      <w:r w:rsidRPr="006B3029">
        <w:t>Pielech</w:t>
      </w:r>
      <w:proofErr w:type="spellEnd"/>
      <w:r w:rsidRPr="006B3029">
        <w:t xml:space="preserve">, R., Dembicz, I., Gillet, F., Kozub, Ł., </w:t>
      </w:r>
      <w:proofErr w:type="spellStart"/>
      <w:r w:rsidRPr="006B3029">
        <w:t>Marcenò</w:t>
      </w:r>
      <w:proofErr w:type="spellEnd"/>
      <w:r w:rsidRPr="006B3029">
        <w:t xml:space="preserve">, C., </w:t>
      </w:r>
      <w:proofErr w:type="spellStart"/>
      <w:r w:rsidRPr="006B3029">
        <w:t>Reitalu</w:t>
      </w:r>
      <w:proofErr w:type="spellEnd"/>
      <w:r w:rsidRPr="006B3029">
        <w:t xml:space="preserve">, T., Van </w:t>
      </w:r>
      <w:proofErr w:type="spellStart"/>
      <w:r w:rsidRPr="006B3029">
        <w:t>Meerbeek</w:t>
      </w:r>
      <w:proofErr w:type="spellEnd"/>
      <w:r w:rsidRPr="006B3029">
        <w:t xml:space="preserve">, K., Guarino, R., </w:t>
      </w:r>
      <w:proofErr w:type="spellStart"/>
      <w:r w:rsidRPr="006B3029">
        <w:t>Chytrý</w:t>
      </w:r>
      <w:proofErr w:type="spellEnd"/>
      <w:r w:rsidRPr="006B3029">
        <w:t xml:space="preserve">, M., </w:t>
      </w:r>
      <w:r w:rsidRPr="006B3029">
        <w:rPr>
          <w:u w:val="single"/>
        </w:rPr>
        <w:t>Ruprecht, E.</w:t>
      </w:r>
      <w:r w:rsidRPr="006B3029">
        <w:t xml:space="preserve">, […], Pakeman, R.J. (2021). Benchmarking plant diversity of </w:t>
      </w:r>
      <w:proofErr w:type="spellStart"/>
      <w:r w:rsidRPr="006B3029">
        <w:t>Palaearctic</w:t>
      </w:r>
      <w:proofErr w:type="spellEnd"/>
      <w:r w:rsidRPr="006B3029">
        <w:t xml:space="preserve"> grasslands and other open habitats. </w:t>
      </w:r>
      <w:r w:rsidRPr="006B3029">
        <w:rPr>
          <w:i/>
          <w:iCs/>
        </w:rPr>
        <w:t>Journal of Vegetation Science</w:t>
      </w:r>
      <w:r w:rsidRPr="006B3029">
        <w:t xml:space="preserve"> </w:t>
      </w:r>
      <w:r w:rsidRPr="006B3029">
        <w:rPr>
          <w:iCs/>
        </w:rPr>
        <w:t>32</w:t>
      </w:r>
      <w:r w:rsidRPr="006B3029">
        <w:t>(4), p.e13050.</w:t>
      </w:r>
    </w:p>
    <w:p w14:paraId="2343AE47" w14:textId="77777777" w:rsidR="0030250E" w:rsidRPr="006B3029" w:rsidRDefault="0030250E" w:rsidP="0030250E">
      <w:pPr>
        <w:numPr>
          <w:ilvl w:val="0"/>
          <w:numId w:val="2"/>
        </w:numPr>
      </w:pPr>
      <w:r w:rsidRPr="006B3029">
        <w:rPr>
          <w:bCs/>
        </w:rPr>
        <w:t xml:space="preserve">Večeřa, M., Axmanová, I., … </w:t>
      </w:r>
      <w:r w:rsidRPr="006B3029">
        <w:rPr>
          <w:bCs/>
          <w:u w:val="single"/>
        </w:rPr>
        <w:t>Ruprecht, E.</w:t>
      </w:r>
      <w:r w:rsidRPr="006B3029">
        <w:rPr>
          <w:bCs/>
        </w:rPr>
        <w:t xml:space="preserve">, …., </w:t>
      </w:r>
      <w:proofErr w:type="spellStart"/>
      <w:r w:rsidRPr="006B3029">
        <w:rPr>
          <w:bCs/>
        </w:rPr>
        <w:t>Chytrý</w:t>
      </w:r>
      <w:proofErr w:type="spellEnd"/>
      <w:r w:rsidRPr="006B3029">
        <w:rPr>
          <w:bCs/>
        </w:rPr>
        <w:t>, M.</w:t>
      </w:r>
      <w:r w:rsidRPr="006B3029">
        <w:t xml:space="preserve"> (2021). Mapping species richness of plant families in European vegetation. </w:t>
      </w:r>
      <w:r w:rsidRPr="006B3029">
        <w:rPr>
          <w:i/>
          <w:iCs/>
        </w:rPr>
        <w:t>Journal of Vegetation Science</w:t>
      </w:r>
      <w:r w:rsidRPr="006B3029">
        <w:t xml:space="preserve"> </w:t>
      </w:r>
      <w:r w:rsidRPr="006B3029">
        <w:rPr>
          <w:iCs/>
        </w:rPr>
        <w:t>32</w:t>
      </w:r>
      <w:r w:rsidRPr="006B3029">
        <w:t>(3), p.e13035.</w:t>
      </w:r>
    </w:p>
    <w:p w14:paraId="7681A1F2" w14:textId="77777777" w:rsidR="0030250E" w:rsidRPr="006B3029" w:rsidRDefault="0030250E" w:rsidP="0030250E">
      <w:pPr>
        <w:numPr>
          <w:ilvl w:val="0"/>
          <w:numId w:val="2"/>
        </w:numPr>
      </w:pPr>
      <w:proofErr w:type="spellStart"/>
      <w:r w:rsidRPr="006B3029">
        <w:t>Craioveanu</w:t>
      </w:r>
      <w:proofErr w:type="spellEnd"/>
      <w:r w:rsidRPr="006B3029">
        <w:t xml:space="preserve">, C., Muntean, I., </w:t>
      </w:r>
      <w:r w:rsidRPr="006B3029">
        <w:rPr>
          <w:u w:val="single"/>
        </w:rPr>
        <w:t>Ruprecht, E.</w:t>
      </w:r>
      <w:r w:rsidRPr="006B3029">
        <w:t xml:space="preserve">, </w:t>
      </w:r>
      <w:proofErr w:type="spellStart"/>
      <w:r w:rsidRPr="006B3029">
        <w:t>Băncilă</w:t>
      </w:r>
      <w:proofErr w:type="spellEnd"/>
      <w:r w:rsidRPr="006B3029">
        <w:t xml:space="preserve">, R.I., </w:t>
      </w:r>
      <w:proofErr w:type="spellStart"/>
      <w:r w:rsidRPr="006B3029">
        <w:t>Crișan</w:t>
      </w:r>
      <w:proofErr w:type="spellEnd"/>
      <w:r w:rsidRPr="006B3029">
        <w:t xml:space="preserve">, A., Rákosy, L. (2021). Factors affecting butterfly and plant diversity in </w:t>
      </w:r>
      <w:proofErr w:type="spellStart"/>
      <w:r w:rsidRPr="006B3029">
        <w:t>basiphilous</w:t>
      </w:r>
      <w:proofErr w:type="spellEnd"/>
      <w:r w:rsidRPr="006B3029">
        <w:t xml:space="preserve"> dry grasslands of Transylvania, Romania. </w:t>
      </w:r>
      <w:r w:rsidRPr="006B3029">
        <w:rPr>
          <w:i/>
          <w:iCs/>
        </w:rPr>
        <w:t>Community Ecology</w:t>
      </w:r>
      <w:r w:rsidRPr="006B3029">
        <w:t xml:space="preserve"> </w:t>
      </w:r>
      <w:r w:rsidRPr="006B3029">
        <w:rPr>
          <w:iCs/>
        </w:rPr>
        <w:t>22</w:t>
      </w:r>
      <w:r w:rsidRPr="006B3029">
        <w:t>(3): 295-308.</w:t>
      </w:r>
    </w:p>
    <w:p w14:paraId="662EBE0B" w14:textId="77777777" w:rsidR="0030250E" w:rsidRPr="006B3029" w:rsidRDefault="0030250E" w:rsidP="0030250E">
      <w:pPr>
        <w:numPr>
          <w:ilvl w:val="0"/>
          <w:numId w:val="2"/>
        </w:numPr>
      </w:pPr>
      <w:r w:rsidRPr="006B3029">
        <w:t xml:space="preserve">Pouteau, R., </w:t>
      </w:r>
      <w:proofErr w:type="spellStart"/>
      <w:r w:rsidRPr="006B3029">
        <w:t>Thuiller</w:t>
      </w:r>
      <w:proofErr w:type="spellEnd"/>
      <w:r w:rsidRPr="006B3029">
        <w:t xml:space="preserve">, W., </w:t>
      </w:r>
      <w:proofErr w:type="spellStart"/>
      <w:r w:rsidRPr="006B3029">
        <w:t>Hobohm</w:t>
      </w:r>
      <w:proofErr w:type="spellEnd"/>
      <w:r w:rsidRPr="006B3029">
        <w:t xml:space="preserve">, C., Brunel, C., Conn, B.J., Dawson, W., de Sá </w:t>
      </w:r>
      <w:proofErr w:type="spellStart"/>
      <w:r w:rsidRPr="006B3029">
        <w:t>Dechoum</w:t>
      </w:r>
      <w:proofErr w:type="spellEnd"/>
      <w:r w:rsidRPr="006B3029">
        <w:t xml:space="preserve">, M., Ebel, A.L., Essl, F., Fragman‐Sapir, O., </w:t>
      </w:r>
      <w:r w:rsidRPr="006B3029">
        <w:rPr>
          <w:u w:val="single"/>
        </w:rPr>
        <w:t>Ruprecht, E.</w:t>
      </w:r>
      <w:r w:rsidRPr="006B3029">
        <w:t xml:space="preserve">, […], Fristoe, T. (2021). Climate and socio‐economic factors explain differences between observed and expected naturalization patterns of European plants around the world. </w:t>
      </w:r>
      <w:r w:rsidRPr="006B3029">
        <w:rPr>
          <w:i/>
          <w:iCs/>
        </w:rPr>
        <w:t>Global Ecology and Biogeography</w:t>
      </w:r>
      <w:r w:rsidRPr="006B3029">
        <w:t xml:space="preserve"> </w:t>
      </w:r>
      <w:r w:rsidRPr="006B3029">
        <w:rPr>
          <w:iCs/>
        </w:rPr>
        <w:t>30</w:t>
      </w:r>
      <w:r w:rsidRPr="006B3029">
        <w:t>(7), pp.1514-1531.</w:t>
      </w:r>
    </w:p>
    <w:p w14:paraId="2A3D9306" w14:textId="77777777" w:rsidR="0030250E" w:rsidRPr="006B3029" w:rsidRDefault="0030250E" w:rsidP="0030250E">
      <w:pPr>
        <w:numPr>
          <w:ilvl w:val="0"/>
          <w:numId w:val="2"/>
        </w:numPr>
      </w:pPr>
      <w:proofErr w:type="spellStart"/>
      <w:r w:rsidRPr="006B3029">
        <w:t>Malanson</w:t>
      </w:r>
      <w:proofErr w:type="spellEnd"/>
      <w:r w:rsidRPr="006B3029">
        <w:t xml:space="preserve">, G.P., Pansing, E.R., Testolin, R., Abdulhak, S., Bergamini, A., </w:t>
      </w:r>
      <w:proofErr w:type="spellStart"/>
      <w:r w:rsidRPr="006B3029">
        <w:t>Ćušterevska</w:t>
      </w:r>
      <w:proofErr w:type="spellEnd"/>
      <w:r w:rsidRPr="006B3029">
        <w:t xml:space="preserve">, R., </w:t>
      </w:r>
      <w:proofErr w:type="spellStart"/>
      <w:r w:rsidRPr="006B3029">
        <w:t>Marcenò</w:t>
      </w:r>
      <w:proofErr w:type="spellEnd"/>
      <w:r w:rsidRPr="006B3029">
        <w:t xml:space="preserve">, C., Kuzmanović, N., Milanović, Đ., </w:t>
      </w:r>
      <w:r w:rsidRPr="006B3029">
        <w:rPr>
          <w:u w:val="single"/>
        </w:rPr>
        <w:t>Ruprecht, E.</w:t>
      </w:r>
      <w:r w:rsidRPr="006B3029">
        <w:t xml:space="preserve">, </w:t>
      </w:r>
      <w:proofErr w:type="spellStart"/>
      <w:r w:rsidRPr="006B3029">
        <w:t>Šibík</w:t>
      </w:r>
      <w:proofErr w:type="spellEnd"/>
      <w:r w:rsidRPr="006B3029">
        <w:t xml:space="preserve">, J. (2022). Explanation of beta diversity in European alpine grasslands changes with scale. </w:t>
      </w:r>
      <w:r w:rsidRPr="006B3029">
        <w:rPr>
          <w:i/>
          <w:iCs/>
        </w:rPr>
        <w:t>Ecosphere</w:t>
      </w:r>
      <w:r w:rsidRPr="006B3029">
        <w:t xml:space="preserve"> </w:t>
      </w:r>
      <w:r w:rsidRPr="006B3029">
        <w:rPr>
          <w:iCs/>
        </w:rPr>
        <w:t>13</w:t>
      </w:r>
      <w:r w:rsidRPr="006B3029">
        <w:t>(5), p.e4066.</w:t>
      </w:r>
    </w:p>
    <w:p w14:paraId="173E1DA8" w14:textId="77777777" w:rsidR="0030250E" w:rsidRPr="006B3029" w:rsidRDefault="0030250E" w:rsidP="0030250E">
      <w:pPr>
        <w:numPr>
          <w:ilvl w:val="0"/>
          <w:numId w:val="2"/>
        </w:numPr>
      </w:pPr>
      <w:r w:rsidRPr="006B3029">
        <w:t xml:space="preserve">Midolo, G., </w:t>
      </w:r>
      <w:proofErr w:type="spellStart"/>
      <w:r w:rsidRPr="006B3029">
        <w:t>Herben</w:t>
      </w:r>
      <w:proofErr w:type="spellEnd"/>
      <w:r w:rsidRPr="006B3029">
        <w:t xml:space="preserve">, T., </w:t>
      </w:r>
      <w:proofErr w:type="spellStart"/>
      <w:r w:rsidRPr="006B3029">
        <w:t>Axmanová</w:t>
      </w:r>
      <w:proofErr w:type="spellEnd"/>
      <w:r w:rsidRPr="006B3029">
        <w:t xml:space="preserve">, I., </w:t>
      </w:r>
      <w:proofErr w:type="spellStart"/>
      <w:r w:rsidRPr="006B3029">
        <w:t>Marcenò</w:t>
      </w:r>
      <w:proofErr w:type="spellEnd"/>
      <w:r w:rsidRPr="006B3029">
        <w:t xml:space="preserve">, C., </w:t>
      </w:r>
      <w:proofErr w:type="spellStart"/>
      <w:r w:rsidRPr="006B3029">
        <w:t>Pätsch</w:t>
      </w:r>
      <w:proofErr w:type="spellEnd"/>
      <w:r w:rsidRPr="006B3029">
        <w:t xml:space="preserve">, R., </w:t>
      </w:r>
      <w:proofErr w:type="spellStart"/>
      <w:r w:rsidRPr="006B3029">
        <w:t>Bruelheide</w:t>
      </w:r>
      <w:proofErr w:type="spellEnd"/>
      <w:r w:rsidRPr="006B3029">
        <w:t xml:space="preserve">, H., Karger, D.N., </w:t>
      </w:r>
      <w:proofErr w:type="spellStart"/>
      <w:r w:rsidRPr="006B3029">
        <w:t>Aćić</w:t>
      </w:r>
      <w:proofErr w:type="spellEnd"/>
      <w:r w:rsidRPr="006B3029">
        <w:t xml:space="preserve">, S., Bergamini, A., Bergmeier, E., </w:t>
      </w:r>
      <w:r w:rsidRPr="006B3029">
        <w:rPr>
          <w:u w:val="single"/>
        </w:rPr>
        <w:t>Ruprecht, E.</w:t>
      </w:r>
      <w:r w:rsidRPr="006B3029">
        <w:t xml:space="preserve">, […], </w:t>
      </w:r>
      <w:proofErr w:type="spellStart"/>
      <w:r w:rsidRPr="006B3029">
        <w:t>Biurrun</w:t>
      </w:r>
      <w:proofErr w:type="spellEnd"/>
      <w:r w:rsidRPr="006B3029">
        <w:t xml:space="preserve">, I. (2023). Disturbance indicator values for European plants. </w:t>
      </w:r>
      <w:r w:rsidRPr="006B3029">
        <w:rPr>
          <w:i/>
        </w:rPr>
        <w:t>Global Ecology and Biogeography</w:t>
      </w:r>
      <w:r w:rsidRPr="006B3029">
        <w:t xml:space="preserve">, 32(1), pp.24-34. </w:t>
      </w:r>
    </w:p>
    <w:p w14:paraId="45046CA7" w14:textId="77777777" w:rsidR="0030250E" w:rsidRPr="006B3029" w:rsidRDefault="0030250E" w:rsidP="0030250E">
      <w:pPr>
        <w:numPr>
          <w:ilvl w:val="0"/>
          <w:numId w:val="2"/>
        </w:numPr>
      </w:pPr>
      <w:r w:rsidRPr="006B3029">
        <w:t xml:space="preserve">Dengler, J., Jansen, F., </w:t>
      </w:r>
      <w:proofErr w:type="spellStart"/>
      <w:r w:rsidRPr="006B3029">
        <w:t>Chusova</w:t>
      </w:r>
      <w:proofErr w:type="spellEnd"/>
      <w:r w:rsidRPr="006B3029">
        <w:t xml:space="preserve">, O., Hüllbusch, E., Nobis, M.P., Van Meerbeek, K., </w:t>
      </w:r>
      <w:proofErr w:type="spellStart"/>
      <w:r w:rsidRPr="006B3029">
        <w:t>Axmanová</w:t>
      </w:r>
      <w:proofErr w:type="spellEnd"/>
      <w:r w:rsidRPr="006B3029">
        <w:t xml:space="preserve">, I., Bruun, H.H., </w:t>
      </w:r>
      <w:proofErr w:type="spellStart"/>
      <w:r w:rsidRPr="006B3029">
        <w:t>Chytrý</w:t>
      </w:r>
      <w:proofErr w:type="spellEnd"/>
      <w:r w:rsidRPr="006B3029">
        <w:t xml:space="preserve">, M., Guarino, R., </w:t>
      </w:r>
      <w:r w:rsidRPr="006B3029">
        <w:rPr>
          <w:u w:val="single"/>
        </w:rPr>
        <w:t>Ruprecht, E.</w:t>
      </w:r>
      <w:r w:rsidRPr="006B3029">
        <w:t xml:space="preserve">, […], Karrer, G. (2023). Ecological Indicator Values for Europe (EIVE) 1.0. </w:t>
      </w:r>
      <w:r w:rsidRPr="006B3029">
        <w:rPr>
          <w:i/>
        </w:rPr>
        <w:t>Vegetation Classification and Survey</w:t>
      </w:r>
      <w:r w:rsidRPr="006B3029">
        <w:t xml:space="preserve">, 4, pp.7-29. </w:t>
      </w:r>
    </w:p>
    <w:p w14:paraId="55C92C77" w14:textId="77777777" w:rsidR="0030250E" w:rsidRPr="006B3029" w:rsidRDefault="0030250E" w:rsidP="0030250E">
      <w:pPr>
        <w:numPr>
          <w:ilvl w:val="0"/>
          <w:numId w:val="2"/>
        </w:numPr>
      </w:pPr>
      <w:r w:rsidRPr="006B3029">
        <w:t xml:space="preserve">Peterka, T., Hájková, P., </w:t>
      </w:r>
      <w:proofErr w:type="spellStart"/>
      <w:r w:rsidRPr="006B3029">
        <w:t>Jiroušek</w:t>
      </w:r>
      <w:proofErr w:type="spellEnd"/>
      <w:r w:rsidRPr="006B3029">
        <w:t xml:space="preserve">, M., </w:t>
      </w:r>
      <w:proofErr w:type="spellStart"/>
      <w:r w:rsidRPr="006B3029">
        <w:t>Hinterlang</w:t>
      </w:r>
      <w:proofErr w:type="spellEnd"/>
      <w:r w:rsidRPr="006B3029">
        <w:t xml:space="preserve">, D., </w:t>
      </w:r>
      <w:proofErr w:type="spellStart"/>
      <w:r w:rsidRPr="006B3029">
        <w:t>Chytrý</w:t>
      </w:r>
      <w:proofErr w:type="spellEnd"/>
      <w:r w:rsidRPr="006B3029">
        <w:t xml:space="preserve">, M., </w:t>
      </w:r>
      <w:proofErr w:type="spellStart"/>
      <w:r w:rsidRPr="006B3029">
        <w:t>Aunina</w:t>
      </w:r>
      <w:proofErr w:type="spellEnd"/>
      <w:r w:rsidRPr="006B3029">
        <w:t xml:space="preserve">, L., Deme, J., Lyons, M., </w:t>
      </w:r>
      <w:proofErr w:type="spellStart"/>
      <w:r w:rsidRPr="006B3029">
        <w:rPr>
          <w:u w:val="single"/>
        </w:rPr>
        <w:t>Ruprecht.E</w:t>
      </w:r>
      <w:proofErr w:type="spellEnd"/>
      <w:r w:rsidRPr="006B3029">
        <w:rPr>
          <w:u w:val="single"/>
        </w:rPr>
        <w:t>.</w:t>
      </w:r>
      <w:r w:rsidRPr="006B3029">
        <w:t xml:space="preserve">, […], Seiler, H., Zechmeister, H., </w:t>
      </w:r>
      <w:proofErr w:type="spellStart"/>
      <w:r w:rsidRPr="006B3029">
        <w:t>Apostolova</w:t>
      </w:r>
      <w:proofErr w:type="spellEnd"/>
      <w:r w:rsidRPr="006B3029">
        <w:t xml:space="preserve">, I. (2023). Formalized classification of the </w:t>
      </w:r>
      <w:proofErr w:type="gramStart"/>
      <w:r w:rsidRPr="006B3029">
        <w:t xml:space="preserve">class </w:t>
      </w:r>
      <w:proofErr w:type="spellStart"/>
      <w:r w:rsidRPr="006B3029">
        <w:t>Montio-Cardaminetea</w:t>
      </w:r>
      <w:proofErr w:type="spellEnd"/>
      <w:proofErr w:type="gramEnd"/>
      <w:r w:rsidRPr="006B3029">
        <w:t xml:space="preserve"> in Europe: towards a consistent typology of spring vegetation. </w:t>
      </w:r>
      <w:proofErr w:type="spellStart"/>
      <w:r w:rsidRPr="006B3029">
        <w:rPr>
          <w:i/>
        </w:rPr>
        <w:t>Preslia</w:t>
      </w:r>
      <w:proofErr w:type="spellEnd"/>
      <w:r w:rsidRPr="006B3029">
        <w:t>, 95(3), pp.347-383.</w:t>
      </w:r>
    </w:p>
    <w:p w14:paraId="21BBBD5B" w14:textId="77777777" w:rsidR="0030250E" w:rsidRPr="006B3029" w:rsidRDefault="0030250E" w:rsidP="0030250E">
      <w:pPr>
        <w:numPr>
          <w:ilvl w:val="0"/>
          <w:numId w:val="2"/>
        </w:numPr>
      </w:pPr>
      <w:r w:rsidRPr="006B3029">
        <w:t xml:space="preserve">Večeřa, M., Axmanová, I., </w:t>
      </w:r>
      <w:proofErr w:type="spellStart"/>
      <w:r w:rsidRPr="006B3029">
        <w:t>Chytrý</w:t>
      </w:r>
      <w:proofErr w:type="spellEnd"/>
      <w:r w:rsidRPr="006B3029">
        <w:t xml:space="preserve">, M., Divíšek, J., </w:t>
      </w:r>
      <w:proofErr w:type="spellStart"/>
      <w:r w:rsidRPr="006B3029">
        <w:t>Ndiribe</w:t>
      </w:r>
      <w:proofErr w:type="spellEnd"/>
      <w:r w:rsidRPr="006B3029">
        <w:t xml:space="preserve">, C., Mones, G.V., Čeplová, N., </w:t>
      </w:r>
      <w:proofErr w:type="spellStart"/>
      <w:r w:rsidRPr="006B3029">
        <w:t>Aćić</w:t>
      </w:r>
      <w:proofErr w:type="spellEnd"/>
      <w:r w:rsidRPr="006B3029">
        <w:t xml:space="preserve">, S., Bahn, M., Bergamini, A., </w:t>
      </w:r>
      <w:r w:rsidRPr="006B3029">
        <w:rPr>
          <w:u w:val="single"/>
        </w:rPr>
        <w:t>Ruprecht, E.</w:t>
      </w:r>
      <w:r w:rsidRPr="006B3029">
        <w:t xml:space="preserve">, […], Boenisch, G. (2023). Decoupled phylogenetic and functional diversity in European grasslands. </w:t>
      </w:r>
      <w:proofErr w:type="spellStart"/>
      <w:r w:rsidRPr="006B3029">
        <w:rPr>
          <w:i/>
        </w:rPr>
        <w:t>Preslia</w:t>
      </w:r>
      <w:proofErr w:type="spellEnd"/>
      <w:r w:rsidRPr="006B3029">
        <w:t>, 95(4), pp.413-445.</w:t>
      </w:r>
    </w:p>
    <w:p w14:paraId="3A5C03A8" w14:textId="77777777" w:rsidR="0030250E" w:rsidRPr="006B3029" w:rsidRDefault="0030250E" w:rsidP="0030250E">
      <w:pPr>
        <w:numPr>
          <w:ilvl w:val="0"/>
          <w:numId w:val="2"/>
        </w:numPr>
      </w:pPr>
      <w:proofErr w:type="spellStart"/>
      <w:r w:rsidRPr="006B3029">
        <w:t>Knollová</w:t>
      </w:r>
      <w:proofErr w:type="spellEnd"/>
      <w:r w:rsidRPr="006B3029">
        <w:t xml:space="preserve">, I., </w:t>
      </w:r>
      <w:proofErr w:type="spellStart"/>
      <w:r w:rsidRPr="006B3029">
        <w:t>Chytrý</w:t>
      </w:r>
      <w:proofErr w:type="spellEnd"/>
      <w:r w:rsidRPr="006B3029">
        <w:t xml:space="preserve">, M., </w:t>
      </w:r>
      <w:proofErr w:type="spellStart"/>
      <w:r w:rsidRPr="006B3029">
        <w:t>Bruelheide</w:t>
      </w:r>
      <w:proofErr w:type="spellEnd"/>
      <w:r w:rsidRPr="006B3029">
        <w:t>, H., Dullinger, S., Jandt, U., Bernhardt‐</w:t>
      </w:r>
      <w:proofErr w:type="spellStart"/>
      <w:r w:rsidRPr="006B3029">
        <w:t>Römermann</w:t>
      </w:r>
      <w:proofErr w:type="spellEnd"/>
      <w:r w:rsidRPr="006B3029">
        <w:t xml:space="preserve">, M., Biurrun, I., de Bello, F., Glaser, M., Hennekens, S., […], </w:t>
      </w:r>
      <w:r w:rsidRPr="006B3029">
        <w:rPr>
          <w:u w:val="single"/>
        </w:rPr>
        <w:t>Ruprecht, E.</w:t>
      </w:r>
      <w:r w:rsidRPr="006B3029">
        <w:t xml:space="preserve">, […], Jansen, F. (2024). </w:t>
      </w:r>
      <w:proofErr w:type="spellStart"/>
      <w:r w:rsidRPr="006B3029">
        <w:t>ReSurveyEurope</w:t>
      </w:r>
      <w:proofErr w:type="spellEnd"/>
      <w:r w:rsidRPr="006B3029">
        <w:t xml:space="preserve">: A database of resurveyed vegetation plots in Europe. </w:t>
      </w:r>
      <w:r w:rsidRPr="006B3029">
        <w:rPr>
          <w:i/>
          <w:iCs/>
        </w:rPr>
        <w:t>Journal of Vegetation Science</w:t>
      </w:r>
      <w:r w:rsidRPr="006B3029">
        <w:t xml:space="preserve">, </w:t>
      </w:r>
      <w:r w:rsidRPr="006B3029">
        <w:rPr>
          <w:i/>
          <w:iCs/>
        </w:rPr>
        <w:t>35</w:t>
      </w:r>
      <w:r w:rsidRPr="006B3029">
        <w:t>(2), p.e13235.</w:t>
      </w:r>
    </w:p>
    <w:p w14:paraId="77051553" w14:textId="77777777" w:rsidR="0030250E" w:rsidRPr="006B3029" w:rsidRDefault="0030250E" w:rsidP="0030250E">
      <w:pPr>
        <w:numPr>
          <w:ilvl w:val="0"/>
          <w:numId w:val="2"/>
        </w:numPr>
      </w:pPr>
      <w:r w:rsidRPr="006B3029">
        <w:t xml:space="preserve">Török, P., Teleki, B., Erdős, L., McIntosh-Buday, A., </w:t>
      </w:r>
      <w:r w:rsidRPr="006B3029">
        <w:rPr>
          <w:u w:val="single"/>
        </w:rPr>
        <w:t>Ruprecht, E.</w:t>
      </w:r>
      <w:r w:rsidRPr="006B3029">
        <w:t xml:space="preserve">, </w:t>
      </w:r>
      <w:proofErr w:type="spellStart"/>
      <w:r w:rsidRPr="006B3029">
        <w:t>Tóthmérész</w:t>
      </w:r>
      <w:proofErr w:type="spellEnd"/>
      <w:r w:rsidRPr="006B3029">
        <w:t xml:space="preserve">, B. (2024). Scale dependency of taxonomic and functional diversity in pristine and recovered loess </w:t>
      </w:r>
      <w:proofErr w:type="spellStart"/>
      <w:r w:rsidRPr="006B3029">
        <w:t>steppic</w:t>
      </w:r>
      <w:proofErr w:type="spellEnd"/>
      <w:r w:rsidRPr="006B3029">
        <w:t xml:space="preserve"> grasslands. </w:t>
      </w:r>
      <w:r w:rsidRPr="006B3029">
        <w:rPr>
          <w:i/>
          <w:iCs/>
        </w:rPr>
        <w:t>Science of the Total Environment</w:t>
      </w:r>
      <w:r w:rsidRPr="006B3029">
        <w:t xml:space="preserve">, </w:t>
      </w:r>
      <w:r w:rsidRPr="006B3029">
        <w:rPr>
          <w:i/>
          <w:iCs/>
        </w:rPr>
        <w:t>949</w:t>
      </w:r>
      <w:r w:rsidRPr="006B3029">
        <w:t>, p.175110.</w:t>
      </w:r>
    </w:p>
    <w:p w14:paraId="1910146E" w14:textId="77777777" w:rsidR="0030250E" w:rsidRPr="006B3029" w:rsidRDefault="0030250E" w:rsidP="0030250E">
      <w:pPr>
        <w:numPr>
          <w:ilvl w:val="0"/>
          <w:numId w:val="2"/>
        </w:numPr>
        <w:rPr>
          <w:noProof/>
          <w:spacing w:val="-2"/>
          <w:lang w:val="hu-HU"/>
        </w:rPr>
      </w:pPr>
      <w:r w:rsidRPr="006B3029">
        <w:rPr>
          <w:noProof/>
          <w:spacing w:val="-2"/>
          <w:lang w:val="hu-HU"/>
        </w:rPr>
        <w:t xml:space="preserve">Jiménez-Mejías, P., Manzano, S., Gowda, V., Krell, F.T., Lin, M.Y., Martín-Bravo, S., Martín-Torrijos, L., Nieto Feliner, G., Mosyakin, S.L., Naczi, R.F., [...], </w:t>
      </w:r>
      <w:r w:rsidRPr="006B3029">
        <w:rPr>
          <w:noProof/>
          <w:spacing w:val="-2"/>
          <w:u w:val="single"/>
          <w:lang w:val="hu-HU"/>
        </w:rPr>
        <w:t>Ruprecht, E.</w:t>
      </w:r>
      <w:r w:rsidRPr="006B3029">
        <w:rPr>
          <w:noProof/>
          <w:spacing w:val="-2"/>
          <w:lang w:val="hu-HU"/>
        </w:rPr>
        <w:t xml:space="preserve">, [...], </w:t>
      </w:r>
      <w:r w:rsidRPr="006B3029">
        <w:rPr>
          <w:noProof/>
          <w:spacing w:val="-2"/>
          <w:lang w:val="hu-HU"/>
        </w:rPr>
        <w:lastRenderedPageBreak/>
        <w:t>Acedo, C. (2024). Protecting stable biological nomenclatural systems enables universal communication: A collective international appeal. BioScience, 74(7), pp.467-472.</w:t>
      </w:r>
    </w:p>
    <w:p w14:paraId="18EC7C6E" w14:textId="77777777" w:rsidR="0030250E" w:rsidRPr="006B3029" w:rsidRDefault="0030250E" w:rsidP="0030250E">
      <w:pPr>
        <w:numPr>
          <w:ilvl w:val="0"/>
          <w:numId w:val="2"/>
        </w:numPr>
        <w:autoSpaceDE w:val="0"/>
      </w:pPr>
      <w:proofErr w:type="spellStart"/>
      <w:proofErr w:type="gramStart"/>
      <w:r w:rsidRPr="006B3029">
        <w:t>Kuhn,T</w:t>
      </w:r>
      <w:proofErr w:type="spellEnd"/>
      <w:r w:rsidRPr="006B3029">
        <w:t>.</w:t>
      </w:r>
      <w:proofErr w:type="gramEnd"/>
      <w:r w:rsidRPr="006B3029">
        <w:t>, Ruprecht E. (2022). Flowering phenology may shape hybridization patterns of hawthorn (</w:t>
      </w:r>
      <w:r w:rsidRPr="006B3029">
        <w:rPr>
          <w:i/>
        </w:rPr>
        <w:t>Crataegus</w:t>
      </w:r>
      <w:r w:rsidRPr="006B3029">
        <w:t xml:space="preserve"> L.) species. </w:t>
      </w:r>
      <w:proofErr w:type="spellStart"/>
      <w:r w:rsidRPr="006B3029">
        <w:rPr>
          <w:i/>
          <w:iCs/>
        </w:rPr>
        <w:t>Contributii</w:t>
      </w:r>
      <w:proofErr w:type="spellEnd"/>
      <w:r w:rsidRPr="006B3029">
        <w:rPr>
          <w:i/>
          <w:iCs/>
        </w:rPr>
        <w:t xml:space="preserve"> </w:t>
      </w:r>
      <w:proofErr w:type="spellStart"/>
      <w:r w:rsidRPr="006B3029">
        <w:rPr>
          <w:i/>
          <w:iCs/>
        </w:rPr>
        <w:t>Botanice</w:t>
      </w:r>
      <w:proofErr w:type="spellEnd"/>
      <w:r w:rsidRPr="006B3029">
        <w:t xml:space="preserve"> 57: 95-107.</w:t>
      </w:r>
    </w:p>
    <w:p w14:paraId="436E51D7" w14:textId="77777777" w:rsidR="0030250E" w:rsidRPr="006B3029" w:rsidRDefault="0030250E" w:rsidP="0030250E">
      <w:pPr>
        <w:numPr>
          <w:ilvl w:val="0"/>
          <w:numId w:val="2"/>
        </w:numPr>
        <w:autoSpaceDE w:val="0"/>
      </w:pPr>
      <w:r w:rsidRPr="006B3029">
        <w:rPr>
          <w:noProof/>
        </w:rPr>
        <w:t xml:space="preserve">Fenesi, A., Szőcs, L., Török, P., Ruprecht, E. 2025. Plant–Soil Feedback Does Not Contribute to the Competitive Outcome Between Invasive and Resident Native Species in a Species‐Rich Grassland. Journal of Vegetation Science 36 (3), e70042. </w:t>
      </w:r>
      <w:r w:rsidRPr="006B3029">
        <w:rPr>
          <w:noProof/>
          <w:lang w:val="ro-RO"/>
        </w:rPr>
        <w:t xml:space="preserve">   </w:t>
      </w:r>
    </w:p>
    <w:p w14:paraId="7A4682B0" w14:textId="77777777" w:rsidR="0030250E" w:rsidRPr="006B3029" w:rsidRDefault="0030250E" w:rsidP="0030250E">
      <w:pPr>
        <w:numPr>
          <w:ilvl w:val="0"/>
          <w:numId w:val="2"/>
        </w:numPr>
        <w:autoSpaceDE w:val="0"/>
      </w:pPr>
      <w:proofErr w:type="spellStart"/>
      <w:r w:rsidRPr="006B3029">
        <w:t>Feurdean</w:t>
      </w:r>
      <w:proofErr w:type="spellEnd"/>
      <w:r w:rsidRPr="006B3029">
        <w:t xml:space="preserve">, A., Hanganu, D., </w:t>
      </w:r>
      <w:proofErr w:type="spellStart"/>
      <w:r w:rsidRPr="006B3029">
        <w:t>Bălășescu</w:t>
      </w:r>
      <w:proofErr w:type="spellEnd"/>
      <w:r w:rsidRPr="006B3029">
        <w:t xml:space="preserve">, A., Diaconu, A. Pfeiffer, M., Warren, D., Galka, M., </w:t>
      </w:r>
      <w:proofErr w:type="spellStart"/>
      <w:r w:rsidRPr="006B3029">
        <w:t>Grindean</w:t>
      </w:r>
      <w:proofErr w:type="spellEnd"/>
      <w:r w:rsidRPr="006B3029">
        <w:t xml:space="preserve">, R., Hutchinson, S.M., </w:t>
      </w:r>
      <w:proofErr w:type="spellStart"/>
      <w:r w:rsidRPr="006B3029">
        <w:t>Marzolff</w:t>
      </w:r>
      <w:proofErr w:type="spellEnd"/>
      <w:r w:rsidRPr="006B3029">
        <w:t xml:space="preserve">, I., </w:t>
      </w:r>
      <w:proofErr w:type="spellStart"/>
      <w:r w:rsidRPr="006B3029">
        <w:t>Persoiu</w:t>
      </w:r>
      <w:proofErr w:type="spellEnd"/>
      <w:r w:rsidRPr="006B3029">
        <w:t xml:space="preserve">, A., Ruprecht, E., </w:t>
      </w:r>
      <w:proofErr w:type="spellStart"/>
      <w:r w:rsidRPr="006B3029">
        <w:t>Tantau</w:t>
      </w:r>
      <w:proofErr w:type="spellEnd"/>
      <w:r w:rsidRPr="006B3029">
        <w:t>, I. 2025. Moisture availability versus grazing and burning as drivers of Holocene forest-grassland coexistence in Europe: A case study from open ecosystems of southeastern Romania. Quaternary Science Reviews 351, p.109153.</w:t>
      </w:r>
    </w:p>
    <w:p w14:paraId="7E10951E" w14:textId="77777777" w:rsidR="0030250E" w:rsidRPr="006B3029" w:rsidRDefault="0030250E" w:rsidP="0030250E">
      <w:pPr>
        <w:numPr>
          <w:ilvl w:val="0"/>
          <w:numId w:val="2"/>
        </w:numPr>
        <w:autoSpaceDE w:val="0"/>
      </w:pPr>
      <w:proofErr w:type="spellStart"/>
      <w:r w:rsidRPr="006B3029">
        <w:t>Hähn</w:t>
      </w:r>
      <w:proofErr w:type="spellEnd"/>
      <w:r w:rsidRPr="006B3029">
        <w:t xml:space="preserve">, G.J.A., Damasceno, G., Alvarez-Davila, E., Aubin, I., </w:t>
      </w:r>
      <w:proofErr w:type="spellStart"/>
      <w:r w:rsidRPr="006B3029">
        <w:t>Bauters</w:t>
      </w:r>
      <w:proofErr w:type="spellEnd"/>
      <w:r w:rsidRPr="006B3029">
        <w:t xml:space="preserve">, M., Bergmeier, E., </w:t>
      </w:r>
      <w:proofErr w:type="spellStart"/>
      <w:r w:rsidRPr="006B3029">
        <w:t>Biurrun</w:t>
      </w:r>
      <w:proofErr w:type="spellEnd"/>
      <w:r w:rsidRPr="006B3029">
        <w:t xml:space="preserve">, I., Bjorkman, A.D., </w:t>
      </w:r>
      <w:proofErr w:type="spellStart"/>
      <w:r w:rsidRPr="006B3029">
        <w:t>Bonari</w:t>
      </w:r>
      <w:proofErr w:type="spellEnd"/>
      <w:r w:rsidRPr="006B3029">
        <w:t>, G., Botta-</w:t>
      </w:r>
      <w:proofErr w:type="spellStart"/>
      <w:r w:rsidRPr="006B3029">
        <w:t>Dukát</w:t>
      </w:r>
      <w:proofErr w:type="spellEnd"/>
      <w:r w:rsidRPr="006B3029">
        <w:t xml:space="preserve">, Z., Campos, J.A., </w:t>
      </w:r>
      <w:proofErr w:type="spellStart"/>
      <w:r w:rsidRPr="006B3029">
        <w:t>Čarni</w:t>
      </w:r>
      <w:proofErr w:type="spellEnd"/>
      <w:r w:rsidRPr="006B3029">
        <w:t xml:space="preserve">, A., </w:t>
      </w:r>
      <w:proofErr w:type="spellStart"/>
      <w:r w:rsidRPr="006B3029">
        <w:t>Chytrý</w:t>
      </w:r>
      <w:proofErr w:type="spellEnd"/>
      <w:r w:rsidRPr="006B3029">
        <w:t xml:space="preserve">, M., </w:t>
      </w:r>
      <w:proofErr w:type="spellStart"/>
      <w:r w:rsidRPr="006B3029">
        <w:t>Ćušterevska</w:t>
      </w:r>
      <w:proofErr w:type="spellEnd"/>
      <w:r w:rsidRPr="006B3029">
        <w:t xml:space="preserve">, R., De Gasper, A.L., De Sanctis, M., Dengler, J., Dolezal, J., El-Sheikh, M.A., </w:t>
      </w:r>
      <w:proofErr w:type="spellStart"/>
      <w:r w:rsidRPr="006B3029">
        <w:t>Finckh</w:t>
      </w:r>
      <w:proofErr w:type="spellEnd"/>
      <w:r w:rsidRPr="006B3029">
        <w:t xml:space="preserve">, M., Galán-de-Mera, A., </w:t>
      </w:r>
      <w:proofErr w:type="spellStart"/>
      <w:r w:rsidRPr="006B3029">
        <w:t>Garbolino</w:t>
      </w:r>
      <w:proofErr w:type="spellEnd"/>
      <w:r w:rsidRPr="006B3029">
        <w:t xml:space="preserve">, E., Gholizadeh, H., Golub, V., Haider, S., Hatim, M.Z., Hérault, B., Homeier, J., Jandt, U., Jansen, F., Jentsch, A., </w:t>
      </w:r>
      <w:proofErr w:type="spellStart"/>
      <w:r w:rsidRPr="006B3029">
        <w:t>Kattge</w:t>
      </w:r>
      <w:proofErr w:type="spellEnd"/>
      <w:r w:rsidRPr="006B3029">
        <w:t xml:space="preserve">, J., Kessler, M., </w:t>
      </w:r>
      <w:proofErr w:type="spellStart"/>
      <w:r w:rsidRPr="006B3029">
        <w:t>Khanina</w:t>
      </w:r>
      <w:proofErr w:type="spellEnd"/>
      <w:r w:rsidRPr="006B3029">
        <w:t xml:space="preserve">, L., Kreft, H., </w:t>
      </w:r>
      <w:proofErr w:type="spellStart"/>
      <w:r w:rsidRPr="006B3029">
        <w:t>Küzmič</w:t>
      </w:r>
      <w:proofErr w:type="spellEnd"/>
      <w:r w:rsidRPr="006B3029">
        <w:t xml:space="preserve">, F., Lenoir, J., Moeslund, J.E., </w:t>
      </w:r>
      <w:proofErr w:type="spellStart"/>
      <w:r w:rsidRPr="006B3029">
        <w:t>Mucina</w:t>
      </w:r>
      <w:proofErr w:type="spellEnd"/>
      <w:r w:rsidRPr="006B3029">
        <w:t xml:space="preserve">, L., </w:t>
      </w:r>
      <w:proofErr w:type="spellStart"/>
      <w:r w:rsidRPr="006B3029">
        <w:t>Naqinezhad</w:t>
      </w:r>
      <w:proofErr w:type="spellEnd"/>
      <w:r w:rsidRPr="006B3029">
        <w:t xml:space="preserve">, A., </w:t>
      </w:r>
      <w:proofErr w:type="spellStart"/>
      <w:r w:rsidRPr="006B3029">
        <w:t>Noroozi</w:t>
      </w:r>
      <w:proofErr w:type="spellEnd"/>
      <w:r w:rsidRPr="006B3029">
        <w:t xml:space="preserve">, J., Pérez-Haase, A., Phillips, O.L., Pillar, V.D., Rivas-Torres, G., Ruprecht, E., Sandel, B., Schmidt, M., Schmiedel, U., Schnitzer, S., Schrodt, F., </w:t>
      </w:r>
      <w:proofErr w:type="spellStart"/>
      <w:r w:rsidRPr="006B3029">
        <w:t>Šilc</w:t>
      </w:r>
      <w:proofErr w:type="spellEnd"/>
      <w:r w:rsidRPr="006B3029">
        <w:t xml:space="preserve">, U., Sparrow, B., Sporbert, M., Stančić, Z., Strohbach, B., Svenning, J.C., Tang, C.Q., Tang, Z., </w:t>
      </w:r>
      <w:proofErr w:type="spellStart"/>
      <w:r w:rsidRPr="006B3029">
        <w:t>Vibrans</w:t>
      </w:r>
      <w:proofErr w:type="spellEnd"/>
      <w:r w:rsidRPr="006B3029">
        <w:t xml:space="preserve">, A.C., </w:t>
      </w:r>
      <w:proofErr w:type="spellStart"/>
      <w:r w:rsidRPr="006B3029">
        <w:t>Violle</w:t>
      </w:r>
      <w:proofErr w:type="spellEnd"/>
      <w:r w:rsidRPr="006B3029">
        <w:t xml:space="preserve">, C., Waller, D., Wana, D., Wang, H.F., </w:t>
      </w:r>
      <w:proofErr w:type="spellStart"/>
      <w:r w:rsidRPr="006B3029">
        <w:t>Whitfeld</w:t>
      </w:r>
      <w:proofErr w:type="spellEnd"/>
      <w:r w:rsidRPr="006B3029">
        <w:t xml:space="preserve">, T., Zizka, G., Sabatini, F.M., </w:t>
      </w:r>
      <w:proofErr w:type="spellStart"/>
      <w:r w:rsidRPr="006B3029">
        <w:t>Bruelheide</w:t>
      </w:r>
      <w:proofErr w:type="spellEnd"/>
      <w:r w:rsidRPr="006B3029">
        <w:t>, H. 2025. Global decoupling of functional and phylogenetic diversity in plant communities. Nature Ecology &amp; Evolution 9 (2): 237-248.</w:t>
      </w:r>
    </w:p>
    <w:p w14:paraId="5D35916A" w14:textId="77777777" w:rsidR="0030250E" w:rsidRPr="006B3029" w:rsidRDefault="0030250E" w:rsidP="0030250E">
      <w:pPr>
        <w:numPr>
          <w:ilvl w:val="0"/>
          <w:numId w:val="2"/>
        </w:numPr>
        <w:autoSpaceDE w:val="0"/>
      </w:pPr>
      <w:r w:rsidRPr="006B3029">
        <w:t xml:space="preserve">Kuhn, T., </w:t>
      </w:r>
      <w:proofErr w:type="spellStart"/>
      <w:r w:rsidRPr="006B3029">
        <w:t>Görzen</w:t>
      </w:r>
      <w:proofErr w:type="spellEnd"/>
      <w:r w:rsidRPr="006B3029">
        <w:t xml:space="preserve">, E., Sohrabi, M., Donath, T.W., Ruprecht, E. 2025. Seed bank as a source for the spontaneous regeneration of dry grasslands on former arable fields in an </w:t>
      </w:r>
      <w:proofErr w:type="spellStart"/>
      <w:r w:rsidRPr="006B3029">
        <w:t>agro</w:t>
      </w:r>
      <w:proofErr w:type="spellEnd"/>
      <w:r w:rsidRPr="006B3029">
        <w:t>‐pastoral landscape. Restoration Ecology e70112.</w:t>
      </w:r>
    </w:p>
    <w:p w14:paraId="6B18708A" w14:textId="77777777" w:rsidR="0030250E" w:rsidRPr="006B3029" w:rsidRDefault="0030250E" w:rsidP="0030250E">
      <w:pPr>
        <w:autoSpaceDE w:val="0"/>
      </w:pPr>
    </w:p>
    <w:p w14:paraId="23A24097" w14:textId="77777777" w:rsidR="0030250E" w:rsidRPr="006B3029" w:rsidRDefault="0030250E" w:rsidP="0030250E">
      <w:pPr>
        <w:autoSpaceDE w:val="0"/>
      </w:pPr>
    </w:p>
    <w:p w14:paraId="2294AE69" w14:textId="77777777" w:rsidR="0030250E" w:rsidRPr="006B3029" w:rsidRDefault="0030250E" w:rsidP="0030250E">
      <w:pPr>
        <w:numPr>
          <w:ilvl w:val="0"/>
          <w:numId w:val="1"/>
        </w:numPr>
        <w:tabs>
          <w:tab w:val="left" w:pos="142"/>
          <w:tab w:val="left" w:pos="399"/>
        </w:tabs>
        <w:spacing w:line="320" w:lineRule="atLeast"/>
        <w:jc w:val="both"/>
        <w:rPr>
          <w:b/>
          <w:bCs/>
          <w:lang w:val="ro-RO"/>
        </w:rPr>
      </w:pPr>
      <w:r w:rsidRPr="006B3029">
        <w:rPr>
          <w:b/>
          <w:bCs/>
          <w:lang w:val="ro-RO"/>
        </w:rPr>
        <w:t xml:space="preserve">Lucrări publicate în ultimii 10 anii în reviste şi  volume de conferinţe cu referenţi </w:t>
      </w:r>
    </w:p>
    <w:p w14:paraId="3CF3A58C" w14:textId="77777777" w:rsidR="0030250E" w:rsidRPr="006B3029" w:rsidRDefault="0030250E" w:rsidP="0030250E">
      <w:pPr>
        <w:tabs>
          <w:tab w:val="left" w:pos="456"/>
        </w:tabs>
        <w:spacing w:line="320" w:lineRule="atLeast"/>
        <w:ind w:firstLine="456"/>
        <w:jc w:val="both"/>
        <w:rPr>
          <w:b/>
          <w:bCs/>
          <w:lang w:val="ro-RO"/>
        </w:rPr>
      </w:pPr>
      <w:r w:rsidRPr="006B3029">
        <w:rPr>
          <w:b/>
          <w:bCs/>
          <w:lang w:val="ro-RO"/>
        </w:rPr>
        <w:t xml:space="preserve">(neindexate) </w:t>
      </w:r>
    </w:p>
    <w:p w14:paraId="6A22B690" w14:textId="77777777" w:rsidR="0030250E" w:rsidRPr="006B3029" w:rsidRDefault="0030250E" w:rsidP="0030250E">
      <w:pPr>
        <w:tabs>
          <w:tab w:val="left" w:pos="142"/>
        </w:tabs>
        <w:spacing w:line="320" w:lineRule="atLeast"/>
        <w:ind w:left="741"/>
        <w:jc w:val="both"/>
        <w:rPr>
          <w:b/>
          <w:bCs/>
          <w:lang w:val="ro-RO"/>
        </w:rPr>
      </w:pPr>
      <w:r w:rsidRPr="006B3029">
        <w:rPr>
          <w:b/>
          <w:bCs/>
          <w:lang w:val="ro-RO"/>
        </w:rPr>
        <w:t>- Reviste</w:t>
      </w:r>
    </w:p>
    <w:p w14:paraId="50C28FD3" w14:textId="77777777" w:rsidR="0030250E" w:rsidRPr="006B3029" w:rsidRDefault="0030250E" w:rsidP="0030250E">
      <w:pPr>
        <w:tabs>
          <w:tab w:val="left" w:pos="142"/>
        </w:tabs>
        <w:spacing w:line="320" w:lineRule="atLeast"/>
        <w:jc w:val="both"/>
        <w:rPr>
          <w:b/>
          <w:bCs/>
          <w:lang w:val="ro-RO"/>
        </w:rPr>
      </w:pPr>
      <w:r w:rsidRPr="006B3029">
        <w:rPr>
          <w:lang w:val="ro-RO"/>
        </w:rPr>
        <w:t xml:space="preserve">   </w:t>
      </w:r>
      <w:r w:rsidRPr="006B3029">
        <w:rPr>
          <w:lang w:val="ro-RO"/>
        </w:rPr>
        <w:tab/>
      </w:r>
      <w:r w:rsidRPr="006B3029">
        <w:rPr>
          <w:b/>
          <w:bCs/>
          <w:lang w:val="ro-RO"/>
        </w:rPr>
        <w:t>- Selecţie cu maximum 20 lucrări în volume de conferinţe</w:t>
      </w:r>
    </w:p>
    <w:p w14:paraId="53145F81" w14:textId="77777777" w:rsidR="0030250E" w:rsidRPr="006B3029" w:rsidRDefault="0030250E" w:rsidP="0030250E">
      <w:pPr>
        <w:spacing w:line="320" w:lineRule="atLeast"/>
        <w:jc w:val="both"/>
        <w:rPr>
          <w:lang w:val="ro-RO"/>
        </w:rPr>
      </w:pPr>
      <w:r w:rsidRPr="006B3029">
        <w:rPr>
          <w:lang w:val="ro-RO"/>
        </w:rPr>
        <w:t xml:space="preserve">     </w:t>
      </w:r>
    </w:p>
    <w:p w14:paraId="4FA0A723" w14:textId="77777777" w:rsidR="0030250E" w:rsidRPr="006B3029" w:rsidRDefault="0030250E" w:rsidP="0030250E">
      <w:pPr>
        <w:numPr>
          <w:ilvl w:val="0"/>
          <w:numId w:val="1"/>
        </w:numPr>
        <w:spacing w:line="320" w:lineRule="atLeast"/>
        <w:jc w:val="both"/>
        <w:rPr>
          <w:b/>
          <w:bCs/>
          <w:lang w:val="ro-RO"/>
        </w:rPr>
      </w:pPr>
      <w:r w:rsidRPr="006B3029">
        <w:rPr>
          <w:b/>
          <w:bCs/>
          <w:lang w:val="ro-RO"/>
        </w:rPr>
        <w:t>Brevete obţinute în întreaga activitate</w:t>
      </w:r>
    </w:p>
    <w:p w14:paraId="6138CA4C" w14:textId="77777777" w:rsidR="0030250E" w:rsidRPr="006B3029" w:rsidRDefault="0030250E" w:rsidP="0030250E">
      <w:pPr>
        <w:spacing w:line="320" w:lineRule="atLeast"/>
        <w:rPr>
          <w:lang w:val="ro-RO"/>
        </w:rPr>
      </w:pPr>
      <w:r w:rsidRPr="006B3029">
        <w:rPr>
          <w:lang w:val="ro-RO"/>
        </w:rPr>
        <w:t xml:space="preserve">     </w:t>
      </w:r>
    </w:p>
    <w:p w14:paraId="5AB5A49E" w14:textId="77777777" w:rsidR="0030250E" w:rsidRPr="006B3029" w:rsidRDefault="0030250E" w:rsidP="0030250E">
      <w:pPr>
        <w:spacing w:line="320" w:lineRule="atLeast"/>
        <w:rPr>
          <w:lang w:val="ro-RO"/>
        </w:rPr>
      </w:pPr>
    </w:p>
    <w:p w14:paraId="05792788" w14:textId="77777777" w:rsidR="0030250E" w:rsidRPr="006B3029" w:rsidRDefault="0030250E" w:rsidP="0030250E">
      <w:pPr>
        <w:spacing w:line="320" w:lineRule="atLeast"/>
        <w:rPr>
          <w:lang w:val="ro-RO"/>
        </w:rPr>
      </w:pPr>
    </w:p>
    <w:p w14:paraId="13EE2FA0" w14:textId="77777777" w:rsidR="0030250E" w:rsidRPr="006B3029" w:rsidRDefault="0030250E" w:rsidP="0030250E">
      <w:pPr>
        <w:spacing w:line="320" w:lineRule="atLeast"/>
        <w:rPr>
          <w:lang w:val="ro-RO"/>
        </w:rPr>
      </w:pPr>
    </w:p>
    <w:p w14:paraId="33A5CED7" w14:textId="6CD94B6C" w:rsidR="0030250E" w:rsidRPr="006B3029" w:rsidRDefault="0030250E" w:rsidP="0030250E">
      <w:pPr>
        <w:tabs>
          <w:tab w:val="left" w:pos="142"/>
        </w:tabs>
        <w:spacing w:line="320" w:lineRule="atLeast"/>
        <w:ind w:firstLine="720"/>
        <w:jc w:val="both"/>
      </w:pPr>
      <w:r w:rsidRPr="006B3029">
        <w:rPr>
          <w:b/>
          <w:bCs/>
          <w:noProof/>
          <w:lang w:val="ro-RO"/>
        </w:rPr>
        <w:t>Data:</w:t>
      </w:r>
      <w:r w:rsidRPr="006B3029">
        <w:tab/>
      </w:r>
      <w:r w:rsidRPr="006B3029">
        <w:rPr>
          <w:b/>
          <w:bCs/>
          <w:noProof/>
          <w:lang w:val="ro-RO"/>
        </w:rPr>
        <w:t>30.08.2025</w:t>
      </w:r>
      <w:r w:rsidRPr="006B3029">
        <w:tab/>
      </w:r>
      <w:r w:rsidRPr="006B3029">
        <w:tab/>
      </w:r>
      <w:r w:rsidRPr="006B3029">
        <w:tab/>
      </w:r>
      <w:r w:rsidRPr="006B3029">
        <w:tab/>
      </w:r>
      <w:r w:rsidRPr="006B3029">
        <w:tab/>
      </w:r>
      <w:r w:rsidRPr="006B3029">
        <w:rPr>
          <w:b/>
          <w:bCs/>
          <w:noProof/>
          <w:lang w:val="ro-RO"/>
        </w:rPr>
        <w:t>Semnătura:</w:t>
      </w:r>
    </w:p>
    <w:p w14:paraId="7AFCCD0B" w14:textId="77777777" w:rsidR="0030250E" w:rsidRPr="006B3029" w:rsidRDefault="0030250E" w:rsidP="0030250E">
      <w:pPr>
        <w:spacing w:line="320" w:lineRule="atLeast"/>
        <w:ind w:left="360"/>
        <w:rPr>
          <w:lang w:val="ro-RO"/>
        </w:rPr>
      </w:pPr>
    </w:p>
    <w:p w14:paraId="6A73F576" w14:textId="672F5A94" w:rsidR="0030250E" w:rsidRDefault="0030250E" w:rsidP="0030250E"/>
    <w:sectPr w:rsidR="003025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B6A"/>
    <w:multiLevelType w:val="hybridMultilevel"/>
    <w:tmpl w:val="D09CA3EE"/>
    <w:lvl w:ilvl="0" w:tplc="ECE6E5B0">
      <w:start w:val="1"/>
      <w:numFmt w:val="upperLetter"/>
      <w:lvlText w:val="%1."/>
      <w:lvlJc w:val="left"/>
      <w:pPr>
        <w:ind w:left="720" w:hanging="360"/>
      </w:pPr>
    </w:lvl>
    <w:lvl w:ilvl="1" w:tplc="335C9B9A">
      <w:start w:val="1"/>
      <w:numFmt w:val="lowerLetter"/>
      <w:lvlText w:val="%2."/>
      <w:lvlJc w:val="left"/>
      <w:pPr>
        <w:ind w:left="1440" w:hanging="360"/>
      </w:pPr>
    </w:lvl>
    <w:lvl w:ilvl="2" w:tplc="CFCEC62E">
      <w:start w:val="1"/>
      <w:numFmt w:val="lowerRoman"/>
      <w:lvlText w:val="%3."/>
      <w:lvlJc w:val="right"/>
      <w:pPr>
        <w:ind w:left="2160" w:hanging="180"/>
      </w:pPr>
    </w:lvl>
    <w:lvl w:ilvl="3" w:tplc="4D9CB2D2">
      <w:start w:val="1"/>
      <w:numFmt w:val="decimal"/>
      <w:lvlText w:val="%4."/>
      <w:lvlJc w:val="left"/>
      <w:pPr>
        <w:ind w:left="2880" w:hanging="360"/>
      </w:pPr>
    </w:lvl>
    <w:lvl w:ilvl="4" w:tplc="AB9889B8">
      <w:start w:val="1"/>
      <w:numFmt w:val="lowerLetter"/>
      <w:lvlText w:val="%5."/>
      <w:lvlJc w:val="left"/>
      <w:pPr>
        <w:ind w:left="3600" w:hanging="360"/>
      </w:pPr>
    </w:lvl>
    <w:lvl w:ilvl="5" w:tplc="FB64C444">
      <w:start w:val="1"/>
      <w:numFmt w:val="lowerRoman"/>
      <w:lvlText w:val="%6."/>
      <w:lvlJc w:val="right"/>
      <w:pPr>
        <w:ind w:left="4320" w:hanging="180"/>
      </w:pPr>
    </w:lvl>
    <w:lvl w:ilvl="6" w:tplc="D7DE1612">
      <w:start w:val="1"/>
      <w:numFmt w:val="decimal"/>
      <w:lvlText w:val="%7."/>
      <w:lvlJc w:val="left"/>
      <w:pPr>
        <w:ind w:left="5040" w:hanging="360"/>
      </w:pPr>
    </w:lvl>
    <w:lvl w:ilvl="7" w:tplc="279AB2B8">
      <w:start w:val="1"/>
      <w:numFmt w:val="lowerLetter"/>
      <w:lvlText w:val="%8."/>
      <w:lvlJc w:val="left"/>
      <w:pPr>
        <w:ind w:left="5760" w:hanging="360"/>
      </w:pPr>
    </w:lvl>
    <w:lvl w:ilvl="8" w:tplc="EBB89C14">
      <w:start w:val="1"/>
      <w:numFmt w:val="lowerRoman"/>
      <w:lvlText w:val="%9."/>
      <w:lvlJc w:val="right"/>
      <w:pPr>
        <w:ind w:left="6480" w:hanging="180"/>
      </w:pPr>
    </w:lvl>
  </w:abstractNum>
  <w:abstractNum w:abstractNumId="1" w15:restartNumberingAfterBreak="0">
    <w:nsid w:val="0F3224DA"/>
    <w:multiLevelType w:val="hybridMultilevel"/>
    <w:tmpl w:val="E5826B16"/>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8099611">
    <w:abstractNumId w:val="0"/>
  </w:num>
  <w:num w:numId="2" w16cid:durableId="20769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0E"/>
    <w:rsid w:val="0030250E"/>
    <w:rsid w:val="006A34DE"/>
    <w:rsid w:val="008C3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4C36"/>
  <w15:chartTrackingRefBased/>
  <w15:docId w15:val="{51134620-64B0-40C9-B6FC-8A69C499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50E"/>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302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5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5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5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5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50E"/>
    <w:rPr>
      <w:rFonts w:eastAsiaTheme="majorEastAsia" w:cstheme="majorBidi"/>
      <w:color w:val="272727" w:themeColor="text1" w:themeTint="D8"/>
    </w:rPr>
  </w:style>
  <w:style w:type="paragraph" w:styleId="Title">
    <w:name w:val="Title"/>
    <w:basedOn w:val="Normal"/>
    <w:next w:val="Normal"/>
    <w:link w:val="TitleChar"/>
    <w:uiPriority w:val="10"/>
    <w:qFormat/>
    <w:rsid w:val="003025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50E"/>
    <w:pPr>
      <w:spacing w:before="160"/>
      <w:jc w:val="center"/>
    </w:pPr>
    <w:rPr>
      <w:i/>
      <w:iCs/>
      <w:color w:val="404040" w:themeColor="text1" w:themeTint="BF"/>
    </w:rPr>
  </w:style>
  <w:style w:type="character" w:customStyle="1" w:styleId="QuoteChar">
    <w:name w:val="Quote Char"/>
    <w:basedOn w:val="DefaultParagraphFont"/>
    <w:link w:val="Quote"/>
    <w:uiPriority w:val="29"/>
    <w:rsid w:val="0030250E"/>
    <w:rPr>
      <w:i/>
      <w:iCs/>
      <w:color w:val="404040" w:themeColor="text1" w:themeTint="BF"/>
    </w:rPr>
  </w:style>
  <w:style w:type="paragraph" w:styleId="ListParagraph">
    <w:name w:val="List Paragraph"/>
    <w:basedOn w:val="Normal"/>
    <w:uiPriority w:val="34"/>
    <w:qFormat/>
    <w:rsid w:val="0030250E"/>
    <w:pPr>
      <w:ind w:left="720"/>
      <w:contextualSpacing/>
    </w:pPr>
  </w:style>
  <w:style w:type="character" w:styleId="IntenseEmphasis">
    <w:name w:val="Intense Emphasis"/>
    <w:basedOn w:val="DefaultParagraphFont"/>
    <w:uiPriority w:val="21"/>
    <w:qFormat/>
    <w:rsid w:val="0030250E"/>
    <w:rPr>
      <w:i/>
      <w:iCs/>
      <w:color w:val="0F4761" w:themeColor="accent1" w:themeShade="BF"/>
    </w:rPr>
  </w:style>
  <w:style w:type="paragraph" w:styleId="IntenseQuote">
    <w:name w:val="Intense Quote"/>
    <w:basedOn w:val="Normal"/>
    <w:next w:val="Normal"/>
    <w:link w:val="IntenseQuoteChar"/>
    <w:uiPriority w:val="30"/>
    <w:qFormat/>
    <w:rsid w:val="00302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50E"/>
    <w:rPr>
      <w:i/>
      <w:iCs/>
      <w:color w:val="0F4761" w:themeColor="accent1" w:themeShade="BF"/>
    </w:rPr>
  </w:style>
  <w:style w:type="character" w:styleId="IntenseReference">
    <w:name w:val="Intense Reference"/>
    <w:basedOn w:val="DefaultParagraphFont"/>
    <w:uiPriority w:val="32"/>
    <w:qFormat/>
    <w:rsid w:val="0030250E"/>
    <w:rPr>
      <w:b/>
      <w:bCs/>
      <w:smallCaps/>
      <w:color w:val="0F4761" w:themeColor="accent1" w:themeShade="BF"/>
      <w:spacing w:val="5"/>
    </w:rPr>
  </w:style>
  <w:style w:type="paragraph" w:customStyle="1" w:styleId="ListParagraph1">
    <w:name w:val="List Paragraph1"/>
    <w:basedOn w:val="Normal"/>
    <w:rsid w:val="0030250E"/>
    <w:pPr>
      <w:ind w:left="720"/>
      <w:contextualSpacing/>
    </w:pPr>
    <w:rPr>
      <w:rFonts w:ascii="Calibri" w:hAnsi="Calibri"/>
      <w:sz w:val="22"/>
      <w:szCs w:val="22"/>
      <w:lang w:val="ro-RO"/>
    </w:rPr>
  </w:style>
  <w:style w:type="character" w:styleId="Strong">
    <w:name w:val="Strong"/>
    <w:uiPriority w:val="22"/>
    <w:qFormat/>
    <w:rsid w:val="00302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2734</Words>
  <Characters>16417</Characters>
  <Application>Microsoft Office Word</Application>
  <DocSecurity>0</DocSecurity>
  <Lines>267</Lines>
  <Paragraphs>59</Paragraphs>
  <ScaleCrop>false</ScaleCrop>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Fenesi</dc:creator>
  <cp:keywords/>
  <dc:description/>
  <cp:lastModifiedBy>Annamaria Fenesi</cp:lastModifiedBy>
  <cp:revision>2</cp:revision>
  <dcterms:created xsi:type="dcterms:W3CDTF">2026-01-20T08:47:00Z</dcterms:created>
  <dcterms:modified xsi:type="dcterms:W3CDTF">2026-01-20T08:48:00Z</dcterms:modified>
</cp:coreProperties>
</file>